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7045960" cy="6024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02424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HUANG Duoduo (Howard)</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640"/>
        <w:spacing w:after="0" w:line="385" w:lineRule="auto"/>
        <w:rPr>
          <w:sz w:val="20"/>
          <w:szCs w:val="20"/>
          <w:color w:val="auto"/>
        </w:rPr>
      </w:pPr>
      <w:r>
        <w:rPr>
          <w:rFonts w:ascii="Times New Roman" w:cs="Times New Roman" w:eastAsia="Times New Roman" w:hAnsi="Times New Roman"/>
          <w:sz w:val="16"/>
          <w:szCs w:val="16"/>
          <w:color w:val="0000FF"/>
        </w:rPr>
        <w:t>YUM CHINA BUILDING 20 TIAN YAO QIAO ROAD</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SHANGHAI</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F4</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200030</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Yum China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YUMC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60" w:type="dxa"/>
            <w:vAlign w:val="bottom"/>
            <w:tcBorders>
              <w:top w:val="single" w:sz="8" w:color="0000EE"/>
            </w:tcBorders>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00"/>
              <w:spacing w:after="0" w:line="12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2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03/26/2024</w:t>
            </w: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Chief Supply Chain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4"/>
          <w:szCs w:val="24"/>
          <w:color w:val="auto"/>
        </w:rPr>
      </w:pPr>
    </w:p>
    <w:p>
      <w:pPr>
        <w:ind w:left="340" w:right="580"/>
        <w:spacing w:after="0" w:line="25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03/26/2024</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center"/>
              <w:ind w:right="279"/>
              <w:spacing w:after="0"/>
              <w:rPr>
                <w:sz w:val="20"/>
                <w:szCs w:val="20"/>
                <w:color w:val="auto"/>
              </w:rPr>
            </w:pPr>
            <w:r>
              <w:rPr>
                <w:rFonts w:ascii="Times New Roman" w:cs="Times New Roman" w:eastAsia="Times New Roman" w:hAnsi="Times New Roman"/>
                <w:sz w:val="13"/>
                <w:szCs w:val="13"/>
                <w:color w:val="0000FF"/>
              </w:rPr>
              <w:t>12</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3,061</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03/26/2024</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center"/>
              <w:ind w:right="279"/>
              <w:spacing w:after="0"/>
              <w:rPr>
                <w:sz w:val="20"/>
                <w:szCs w:val="20"/>
                <w:color w:val="auto"/>
              </w:rPr>
            </w:pPr>
            <w:r>
              <w:rPr>
                <w:rFonts w:ascii="Times New Roman" w:cs="Times New Roman" w:eastAsia="Times New Roman" w:hAnsi="Times New Roman"/>
                <w:sz w:val="13"/>
                <w:szCs w:val="13"/>
                <w:color w:val="0000FF"/>
                <w:w w:val="91"/>
              </w:rPr>
              <w:t>2</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3"/>
              </w:rPr>
              <w:t>2</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612</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03/26/2024</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center"/>
              <w:ind w:right="279"/>
              <w:spacing w:after="0"/>
              <w:rPr>
                <w:sz w:val="20"/>
                <w:szCs w:val="20"/>
                <w:color w:val="auto"/>
              </w:rPr>
            </w:pPr>
            <w:r>
              <w:rPr>
                <w:rFonts w:ascii="Times New Roman" w:cs="Times New Roman" w:eastAsia="Times New Roman" w:hAnsi="Times New Roman"/>
                <w:sz w:val="13"/>
                <w:szCs w:val="13"/>
                <w:color w:val="0000FF"/>
              </w:rPr>
              <w:t>19</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19</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4,893</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03/26/2024</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center"/>
              <w:ind w:right="279"/>
              <w:spacing w:after="0"/>
              <w:rPr>
                <w:sz w:val="20"/>
                <w:szCs w:val="20"/>
                <w:color w:val="auto"/>
              </w:rPr>
            </w:pPr>
            <w:r>
              <w:rPr>
                <w:rFonts w:ascii="Times New Roman" w:cs="Times New Roman" w:eastAsia="Times New Roman" w:hAnsi="Times New Roman"/>
                <w:sz w:val="13"/>
                <w:szCs w:val="13"/>
                <w:color w:val="0000FF"/>
              </w:rPr>
              <w:t>13</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3,279</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03/26/2024</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center"/>
              <w:ind w:right="279"/>
              <w:spacing w:after="0"/>
              <w:rPr>
                <w:sz w:val="20"/>
                <w:szCs w:val="20"/>
                <w:color w:val="auto"/>
              </w:rPr>
            </w:pPr>
            <w:r>
              <w:rPr>
                <w:rFonts w:ascii="Times New Roman" w:cs="Times New Roman" w:eastAsia="Times New Roman" w:hAnsi="Times New Roman"/>
                <w:sz w:val="13"/>
                <w:szCs w:val="13"/>
                <w:color w:val="0000FF"/>
              </w:rPr>
              <w:t>36</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36</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8,864</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occurs on a one-for-one basis.</w:t>
      </w:r>
    </w:p>
    <w:p>
      <w:pPr>
        <w:spacing w:after="0" w:line="45" w:lineRule="exact"/>
        <w:rPr>
          <w:rFonts w:ascii="Times New Roman" w:cs="Times New Roman" w:eastAsia="Times New Roman" w:hAnsi="Times New Roman"/>
          <w:sz w:val="13"/>
          <w:szCs w:val="13"/>
          <w:color w:val="008000"/>
        </w:rPr>
      </w:pPr>
    </w:p>
    <w:p>
      <w:pPr>
        <w:jc w:val="both"/>
        <w:ind w:left="40" w:right="18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50% on the second anniversary of the grant date and the remaining 50% will vest on the third anniversary of the grant date. The Restricted Stock Units reported herein shall vest on the same date and under the same terms as the underlying Restricted Stock Units with respect of which these dividend equivalency units vest.</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grant does not have an expiration date.</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1/4 per year beginning one year from the grant date. The Restricted Stock Units reported herein shall vest on the same date and under the same terms as the underlying Restricted Stock Units with respect of which these dividend equivalency units vest</w:t>
      </w:r>
    </w:p>
    <w:p>
      <w:pPr>
        <w:spacing w:after="0" w:line="24"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1/3 per year beginning one year from the grant date. The Restricted Stock Units reported herein shall vest on the same date and under the same terms as the underlying Restricted Stock Units with respect of which these dividend equivalency units vest</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Pingping Liu, Power of</w:t>
            </w:r>
          </w:p>
        </w:tc>
        <w:tc>
          <w:tcPr>
            <w:tcW w:w="240" w:type="dxa"/>
            <w:vAlign w:val="bottom"/>
          </w:tcPr>
          <w:p>
            <w:pPr>
              <w:spacing w:after="0"/>
              <w:rPr>
                <w:sz w:val="17"/>
                <w:szCs w:val="17"/>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03/28/2024</w:t>
            </w:r>
          </w:p>
        </w:tc>
        <w:tc>
          <w:tcPr>
            <w:tcW w:w="0" w:type="dxa"/>
            <w:vAlign w:val="bottom"/>
          </w:tcPr>
          <w:p>
            <w:pPr>
              <w:spacing w:after="0"/>
              <w:rPr>
                <w:sz w:val="1"/>
                <w:szCs w:val="1"/>
                <w:color w:val="auto"/>
              </w:rPr>
            </w:pPr>
          </w:p>
        </w:tc>
      </w:tr>
      <w:tr>
        <w:trPr>
          <w:trHeight w:val="84"/>
        </w:trPr>
        <w:tc>
          <w:tcPr>
            <w:tcW w:w="60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Attorney</w:t>
            </w:r>
          </w:p>
        </w:tc>
        <w:tc>
          <w:tcPr>
            <w:tcW w:w="144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00" w:type="dxa"/>
            <w:vAlign w:val="bottom"/>
            <w:tcBorders>
              <w:bottom w:val="single" w:sz="8" w:color="auto"/>
            </w:tcBorders>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68156" TargetMode="External"/><Relationship Id="rId13" Type="http://schemas.openxmlformats.org/officeDocument/2006/relationships/hyperlink" Target="http://www.sec.gov/cgi-bin/browse-edgar?action=getcompany&amp;CIK=0001673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2024-03-28T10:11:10Z</dcterms:created>
  <dcterms:modified xsi:type="dcterms:W3CDTF">2024-03-28T10:11:10Z</dcterms:modified>
</cp:coreProperties>
</file>