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yumc-20251104.htm"/>
      <w:bookmarkStart w:id="1" w:name="ksyumc20251104"/>
      <w:bookmarkEnd w:id="0"/>
      <w:bookmarkEnd w:id="1"/>
      <w:r>
        <w:rPr/>
        <w:t> </w:t>
      </w:r>
    </w:p>
    <w:p>
      <w:pPr>
        <w:pStyle w:val="TextBody"/>
        <w:pBdr>
          <w:bottom w:val="double" w:sz="6" w:space="1" w:color="000000"/>
        </w:pBdr>
        <w:bidi w:val="0"/>
        <w:jc w:val="left"/>
        <w:rPr/>
      </w:pPr>
      <w:r>
        <w:rPr/>
        <w:t> </w:t>
      </w:r>
    </w:p>
    <w:p>
      <w:pPr>
        <w:pStyle w:val="TextBody"/>
        <w:bidi w:val="0"/>
        <w:spacing w:before="0" w:after="16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aps/>
          <w:color w:val="000000"/>
          <w:sz w:val="24"/>
        </w:rPr>
      </w:pPr>
      <w:r>
        <w:rPr>
          <w:rFonts w:ascii="Times New Roman" w:hAnsi="Times New Roman"/>
          <w:b/>
          <w:caps/>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November 4, 2025</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Yum China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5005" w:type="dxa"/>
        <w:jc w:val="left"/>
        <w:tblInd w:w="0" w:type="dxa"/>
        <w:tblLayout w:type="fixed"/>
        <w:tblCellMar>
          <w:top w:w="28" w:type="dxa"/>
          <w:left w:w="28" w:type="dxa"/>
          <w:bottom w:w="28" w:type="dxa"/>
          <w:right w:w="28" w:type="dxa"/>
        </w:tblCellMar>
      </w:tblPr>
      <w:tblGrid>
        <w:gridCol w:w="2236"/>
        <w:gridCol w:w="146"/>
        <w:gridCol w:w="10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81-2421743</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left"/>
        <w:rPr/>
      </w:pPr>
      <w:r>
        <w:rPr/>
        <w:t> </w:t>
      </w:r>
    </w:p>
    <w:tbl>
      <w:tblPr>
        <w:tblW w:w="5698" w:type="dxa"/>
        <w:jc w:val="left"/>
        <w:tblInd w:w="0" w:type="dxa"/>
        <w:tblLayout w:type="fixed"/>
        <w:tblCellMar>
          <w:top w:w="28" w:type="dxa"/>
          <w:left w:w="28" w:type="dxa"/>
          <w:bottom w:w="28" w:type="dxa"/>
          <w:right w:w="28" w:type="dxa"/>
        </w:tblCellMar>
      </w:tblPr>
      <w:tblGrid>
        <w:gridCol w:w="3136"/>
        <w:gridCol w:w="146"/>
        <w:gridCol w:w="241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101 East Park Boulevard, Suite 805</w:t>
            </w:r>
          </w:p>
          <w:p>
            <w:pPr>
              <w:pStyle w:val="TableContents"/>
              <w:bidi w:val="0"/>
              <w:jc w:val="center"/>
              <w:rPr>
                <w:rFonts w:ascii="Times New Roman" w:hAnsi="Times New Roman"/>
                <w:sz w:val="20"/>
              </w:rPr>
            </w:pPr>
            <w:r>
              <w:rPr>
                <w:rFonts w:ascii="Times New Roman" w:hAnsi="Times New Roman"/>
                <w:b/>
                <w:color w:val="000000"/>
                <w:sz w:val="20"/>
              </w:rPr>
              <w:t>Plano, Texas</w:t>
            </w:r>
            <w:r>
              <w:rPr>
                <w:rFonts w:ascii="Times New Roman" w:hAnsi="Times New Roman"/>
                <w:color w:val="000000"/>
                <w:sz w:val="20"/>
              </w:rPr>
              <w:t xml:space="preserve"> </w:t>
            </w:r>
            <w:r>
              <w:rPr>
                <w:rFonts w:ascii="Times New Roman" w:hAnsi="Times New Roman"/>
                <w:b/>
                <w:color w:val="000000"/>
                <w:sz w:val="20"/>
              </w:rPr>
              <w:t>75074</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 of America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Yum China Building</w:t>
            </w:r>
          </w:p>
          <w:p>
            <w:pPr>
              <w:pStyle w:val="TableContents"/>
              <w:bidi w:val="0"/>
              <w:jc w:val="center"/>
              <w:rPr>
                <w:rFonts w:ascii="Times New Roman" w:hAnsi="Times New Roman"/>
                <w:b/>
                <w:color w:val="000000"/>
                <w:sz w:val="20"/>
              </w:rPr>
            </w:pPr>
            <w:r>
              <w:rPr>
                <w:rFonts w:ascii="Times New Roman" w:hAnsi="Times New Roman"/>
                <w:b/>
                <w:color w:val="000000"/>
                <w:sz w:val="20"/>
              </w:rPr>
              <w:t>20 Tian Yao Qiao Road</w:t>
            </w:r>
          </w:p>
          <w:p>
            <w:pPr>
              <w:pStyle w:val="TableContents"/>
              <w:bidi w:val="0"/>
              <w:jc w:val="center"/>
              <w:rPr>
                <w:rFonts w:ascii="Times New Roman" w:hAnsi="Times New Roman"/>
                <w:sz w:val="20"/>
              </w:rPr>
            </w:pPr>
            <w:r>
              <w:rPr>
                <w:rFonts w:ascii="Times New Roman" w:hAnsi="Times New Roman"/>
                <w:b/>
                <w:color w:val="000000"/>
                <w:sz w:val="20"/>
              </w:rPr>
              <w:t>Shanghai</w:t>
            </w:r>
            <w:r>
              <w:rPr>
                <w:rFonts w:ascii="Times New Roman" w:hAnsi="Times New Roman"/>
                <w:color w:val="000000"/>
                <w:sz w:val="20"/>
              </w:rPr>
              <w:t xml:space="preserve"> </w:t>
            </w:r>
            <w:r>
              <w:rPr>
                <w:rFonts w:ascii="Times New Roman" w:hAnsi="Times New Roman"/>
                <w:b/>
                <w:color w:val="000000"/>
                <w:sz w:val="20"/>
              </w:rPr>
              <w:t>200030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People’s Republic of China</w:t>
            </w:r>
          </w:p>
        </w:tc>
      </w:tr>
      <w:tr>
        <w:trPr/>
        <w:tc>
          <w:tcPr>
            <w:tcW w:w="56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including zip code, of principal executive offices)</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(469) 980-2898</w:t>
      </w:r>
    </w:p>
    <w:p>
      <w:pPr>
        <w:pStyle w:val="TextBody"/>
        <w:bidi w:val="0"/>
        <w:jc w:val="center"/>
        <w:rPr>
          <w:rFonts w:ascii="Times New Roman" w:hAnsi="Times New Roman"/>
          <w:sz w:val="20"/>
        </w:rPr>
      </w:pPr>
      <w:r>
        <w:rPr>
          <w:rFonts w:ascii="Times New Roman" w:hAnsi="Times New Roman"/>
          <w:color w:val="000000"/>
          <w:sz w:val="16"/>
        </w:rPr>
        <w:t>(Registrant's telephone number, including area code)</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color w:val="000000"/>
          <w:sz w:val="16"/>
        </w:rPr>
        <w:t>(Former name or former address, if changed since last report)</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bookmarkStart w:id="2" w:name="ole_link2"/>
      <w:bookmarkStart w:id="3" w:name="ole_link1"/>
      <w:bookmarkEnd w:id="2"/>
      <w:bookmarkEnd w:id="3"/>
      <w:r>
        <w:rPr/>
        <w:t> </w:t>
      </w:r>
    </w:p>
    <w:tbl>
      <w:tblPr>
        <w:tblW w:w="8103" w:type="dxa"/>
        <w:jc w:val="left"/>
        <w:tblInd w:w="0" w:type="dxa"/>
        <w:tblLayout w:type="fixed"/>
        <w:tblCellMar>
          <w:top w:w="28" w:type="dxa"/>
          <w:left w:w="28" w:type="dxa"/>
          <w:bottom w:w="28" w:type="dxa"/>
          <w:right w:w="28" w:type="dxa"/>
        </w:tblCellMar>
      </w:tblPr>
      <w:tblGrid>
        <w:gridCol w:w="3496"/>
        <w:gridCol w:w="826"/>
        <w:gridCol w:w="3781"/>
      </w:tblGrid>
      <w:tr>
        <w:trPr/>
        <w:tc>
          <w:tcPr>
            <w:tcW w:w="34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37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496" w:type="dxa"/>
            <w:vMerge w:val="restart"/>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YUMC</w:t>
            </w:r>
          </w:p>
        </w:tc>
        <w:tc>
          <w:tcPr>
            <w:tcW w:w="37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496" w:type="dxa"/>
            <w:vMerge w:val="continue"/>
            <w:tcBorders>
              <w:left w:val="single" w:sz="4" w:space="0" w:color="000000"/>
              <w:bottom w:val="single" w:sz="4" w:space="0" w:color="000000"/>
              <w:right w:val="single" w:sz="4" w:space="0" w:color="000000"/>
            </w:tcBorders>
            <w:tcMar>
              <w:top w:w="0" w:type="dxa"/>
            </w:tcMar>
            <w:vAlign w:val="center"/>
          </w:tcPr>
          <w:p>
            <w:pPr>
              <w:pStyle w:val="Normal"/>
              <w:bidi w:val="0"/>
              <w:jc w:val="left"/>
              <w:rPr/>
            </w:pPr>
            <w:r>
              <w:rPr/>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9987</w:t>
            </w:r>
          </w:p>
        </w:tc>
        <w:tc>
          <w:tcPr>
            <w:tcW w:w="37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The Stock Exchange of Hong Kong Limited</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961"/>
        <w:gridCol w:w="4096"/>
      </w:tblGrid>
      <w:tr>
        <w:trPr/>
        <w:tc>
          <w:tcPr>
            <w:tcW w:w="96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4, 2025, Yum China Holdings, Inc. issued a press release announcing its unaudited results for the third quarter ended September 30, 2025. A copy of the press release is being furnished as Exhibit 99.1 to this Current Report on Form 8-K.</w:t>
      </w:r>
    </w:p>
    <w:p>
      <w:pPr>
        <w:pStyle w:val="TextBody"/>
        <w:bidi w:val="0"/>
        <w:jc w:val="left"/>
        <w:rPr/>
      </w:pPr>
      <w:r>
        <w:rPr/>
        <w:t>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furnished with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9"/>
        <w:gridCol w:w="866"/>
        <w:gridCol w:w="7710"/>
      </w:tblGrid>
      <w:tr>
        <w:trPr/>
        <w:tc>
          <w:tcPr>
            <w:tcW w:w="16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710"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629" w:type="dxa"/>
            <w:tcBorders>
              <w:bottom w:val="single" w:sz="8" w:space="0" w:color="000000"/>
            </w:tcBorders>
            <w:tcMar>
              <w:top w:w="0" w:type="dxa"/>
              <w:left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Exhibit No.</w:t>
            </w:r>
          </w:p>
        </w:tc>
        <w:tc>
          <w:tcPr>
            <w:tcW w:w="866" w:type="dxa"/>
            <w:tcBorders>
              <w:bottom w:val="single" w:sz="8" w:space="0" w:color="000000"/>
            </w:tcBorders>
            <w:tcMar>
              <w:top w:w="0" w:type="dxa"/>
              <w:left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710" w:type="dxa"/>
            <w:tcBorders>
              <w:bottom w:val="single" w:sz="8" w:space="0" w:color="000000"/>
            </w:tcBorders>
            <w:tcMar>
              <w:top w:w="0" w:type="dxa"/>
              <w:left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Exhibit Description</w:t>
            </w:r>
          </w:p>
        </w:tc>
      </w:tr>
      <w:tr>
        <w:trPr/>
        <w:tc>
          <w:tcPr>
            <w:tcW w:w="1629"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99.1</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710"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yumc-ex99_1.htm">
              <w:r>
                <w:rPr>
                  <w:rStyle w:val="InternetLink"/>
                  <w:rFonts w:ascii="Times New Roman" w:hAnsi="Times New Roman"/>
                  <w:color w:val="000080"/>
                  <w:sz w:val="20"/>
                  <w:u w:val="single"/>
                </w:rPr>
                <w:t>Press Release of Yum China Holdings, Inc. issued November 4, 2025 announcing its unaudited results for the third quarter ended September 30, 2025</w:t>
              </w:r>
            </w:hyperlink>
            <w:hyperlink w:anchor="yumc-ex99_1.htm">
              <w:r>
                <w:rPr>
                  <w:rStyle w:val="InternetLink"/>
                  <w:rFonts w:ascii="Times New Roman" w:hAnsi="Times New Roman"/>
                  <w:color w:val="000080"/>
                  <w:sz w:val="20"/>
                  <w:u w:val="single"/>
                </w:rPr>
                <w:t>.</w:t>
              </w:r>
            </w:hyperlink>
          </w:p>
        </w:tc>
      </w:tr>
      <w:tr>
        <w:trPr/>
        <w:tc>
          <w:tcPr>
            <w:tcW w:w="1629"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104</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710"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0"/>
                <w:u w:val="single"/>
              </w:rPr>
            </w:pPr>
            <w:r>
              <w:rPr>
                <w:rFonts w:ascii="Times New Roman" w:hAnsi="Times New Roman"/>
                <w:color w:val="0000FF"/>
                <w:sz w:val="20"/>
                <w:u w:val="single"/>
              </w:rPr>
              <w:t>Cover Page Interactive Data File (embedded within the Inline XBRL document)</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287" w:type="dxa"/>
        <w:jc w:val="left"/>
        <w:tblInd w:w="0" w:type="dxa"/>
        <w:tblLayout w:type="fixed"/>
        <w:tblCellMar>
          <w:top w:w="28" w:type="dxa"/>
          <w:left w:w="28" w:type="dxa"/>
          <w:bottom w:w="28" w:type="dxa"/>
          <w:right w:w="28" w:type="dxa"/>
        </w:tblCellMar>
      </w:tblPr>
      <w:tblGrid>
        <w:gridCol w:w="2101"/>
        <w:gridCol w:w="146"/>
        <w:gridCol w:w="406"/>
        <w:gridCol w:w="146"/>
        <w:gridCol w:w="631"/>
        <w:gridCol w:w="146"/>
        <w:gridCol w:w="17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CHINA HOLDINGS,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Pingping Liu</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Pingping Liu</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yumc-ex99_1.htm"/>
      <w:bookmarkStart w:id="5" w:name="ksyumcex99_1"/>
      <w:bookmarkEnd w:id="4"/>
      <w:bookmarkEnd w:id="5"/>
      <w:r>
        <w:rPr>
          <w:rFonts w:ascii="Times New Roman" w:hAnsi="Times New Roman"/>
          <w:b/>
          <w:color w:val="000000"/>
          <w:sz w:val="20"/>
        </w:rPr>
        <w:t>Exhibit 99.1</w:t>
      </w:r>
      <w:r>
        <w:br w:type="page"/>
      </w:r>
    </w:p>
    <w:p>
      <w:pPr>
        <w:pStyle w:val="TextBody"/>
        <w:bidi w:val="0"/>
        <w:jc w:val="left"/>
        <w:rPr/>
      </w:pPr>
      <w:r>
        <w:rPr/>
        <w:drawing>
          <wp:inline distT="0" distB="0" distL="0" distR="0">
            <wp:extent cx="6858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 cy="685800"/>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20"/>
        </w:rPr>
        <w:t>Yum China Reports Third Quarter 2025 Results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Strong Operating Profit, Up 8% YoY to $400 million</w:t>
      </w:r>
    </w:p>
    <w:p>
      <w:pPr>
        <w:pStyle w:val="TextBody"/>
        <w:bidi w:val="0"/>
        <w:jc w:val="center"/>
        <w:rPr>
          <w:rFonts w:ascii="Times New Roman" w:hAnsi="Times New Roman"/>
          <w:color w:val="000000"/>
          <w:sz w:val="20"/>
        </w:rPr>
      </w:pPr>
      <w:r>
        <w:rPr>
          <w:rFonts w:ascii="Times New Roman" w:hAnsi="Times New Roman"/>
          <w:color w:val="000000"/>
          <w:sz w:val="20"/>
        </w:rPr>
        <w:t>Powered by Same-Store Sales Growth, Accelerated New Store Openings and Margin Expansion</w:t>
      </w:r>
    </w:p>
    <w:p>
      <w:pPr>
        <w:pStyle w:val="TextBody"/>
        <w:bidi w:val="0"/>
        <w:jc w:val="center"/>
        <w:rPr>
          <w:rFonts w:ascii="Times New Roman" w:hAnsi="Times New Roman"/>
          <w:color w:val="000000"/>
          <w:sz w:val="20"/>
        </w:rPr>
      </w:pPr>
      <w:r>
        <w:rPr>
          <w:rFonts w:ascii="Times New Roman" w:hAnsi="Times New Roman"/>
          <w:color w:val="000000"/>
          <w:sz w:val="20"/>
        </w:rPr>
        <w:t>Achieved 11 Consecutive Quarters of Same-Store Transaction Growth</w:t>
      </w:r>
    </w:p>
    <w:p>
      <w:pPr>
        <w:pStyle w:val="TextBody"/>
        <w:bidi w:val="0"/>
        <w:jc w:val="center"/>
        <w:rPr>
          <w:rFonts w:ascii="Times New Roman" w:hAnsi="Times New Roman"/>
          <w:color w:val="000000"/>
          <w:sz w:val="20"/>
        </w:rPr>
      </w:pPr>
      <w:r>
        <w:rPr>
          <w:rFonts w:ascii="Times New Roman" w:hAnsi="Times New Roman"/>
          <w:color w:val="000000"/>
          <w:sz w:val="20"/>
        </w:rPr>
        <w:t>On Track to Return Approximately $1.5 billion to Shareholders in 2025</w:t>
      </w:r>
    </w:p>
    <w:p>
      <w:pPr>
        <w:pStyle w:val="TextBody"/>
        <w:bidi w:val="0"/>
        <w:jc w:val="both"/>
        <w:rPr>
          <w:rFonts w:ascii="Times New Roman" w:hAnsi="Times New Roman"/>
          <w:color w:val="000000"/>
          <w:sz w:val="20"/>
        </w:rPr>
      </w:pPr>
      <w:r>
        <w:rPr>
          <w:rFonts w:ascii="Times New Roman" w:hAnsi="Times New Roman"/>
          <w:color w:val="000000"/>
          <w:sz w:val="20"/>
        </w:rPr>
        <w:t>Shanghai, China (November 4, 2025) – Yum China Holdings, Inc. (the “Company” or “Yum China”) (NYSE: YUMC and HKEX: 9987) today reported unaudited results for the third quarter ended September 30, 2025.</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Third Quarter Highlights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Total system sales </w:t>
      </w:r>
      <w:r>
        <w:rPr>
          <w:rFonts w:ascii="Times New Roman" w:hAnsi="Times New Roman"/>
          <w:color w:val="000000"/>
          <w:sz w:val="20"/>
        </w:rPr>
        <w:t>grew 4% year over year (“YoY”), excluding foreign currency translation (“F/X”). The growth was primarily attributable to 4% of net new unit contribution and 1% same-store sales growth.</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Same-store sales grew </w:t>
      </w:r>
      <w:r>
        <w:rPr>
          <w:rFonts w:ascii="Times New Roman" w:hAnsi="Times New Roman"/>
          <w:color w:val="000000"/>
          <w:sz w:val="20"/>
        </w:rPr>
        <w:t xml:space="preserve">1% YoY. Same-store transactions grew 4% YoY, the eleventh consecutive quarter of growth.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Total revenues </w:t>
      </w:r>
      <w:r>
        <w:rPr>
          <w:rFonts w:ascii="Times New Roman" w:hAnsi="Times New Roman"/>
          <w:color w:val="000000"/>
          <w:sz w:val="20"/>
        </w:rPr>
        <w:t>increased 4% YoY to $3.2 billion, also a 4% increase excluding F/X.</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Opened 536 </w:t>
      </w:r>
      <w:r>
        <w:rPr>
          <w:rFonts w:ascii="Times New Roman" w:hAnsi="Times New Roman"/>
          <w:b/>
          <w:color w:val="000000"/>
          <w:sz w:val="20"/>
        </w:rPr>
        <w:t xml:space="preserve">net new stores </w:t>
      </w:r>
      <w:r>
        <w:rPr>
          <w:rFonts w:ascii="Times New Roman" w:hAnsi="Times New Roman"/>
          <w:color w:val="000000"/>
          <w:sz w:val="20"/>
        </w:rPr>
        <w:t>in the quarter and</w:t>
      </w:r>
      <w:r>
        <w:rPr>
          <w:color w:val="000000"/>
        </w:rPr>
        <w:t xml:space="preserve"> </w:t>
      </w:r>
      <w:r>
        <w:rPr>
          <w:rFonts w:ascii="Times New Roman" w:hAnsi="Times New Roman"/>
          <w:color w:val="000000"/>
          <w:sz w:val="20"/>
        </w:rPr>
        <w:t>1,119 in the first nine months, of which 32% and 29% were opened by franchisees, respectively.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store count reached 17,514 as of September 30, 2025, including 12,640 KFC stores and 4,022 Pizza Hut stores.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Operating profit </w:t>
      </w:r>
      <w:r>
        <w:rPr>
          <w:rFonts w:ascii="Times New Roman" w:hAnsi="Times New Roman"/>
          <w:color w:val="000000"/>
          <w:sz w:val="20"/>
        </w:rPr>
        <w:t xml:space="preserve">grew 8% YoY to $400 million. </w:t>
      </w:r>
      <w:r>
        <w:rPr>
          <w:rFonts w:ascii="Times New Roman" w:hAnsi="Times New Roman"/>
          <w:b/>
          <w:color w:val="000000"/>
          <w:sz w:val="20"/>
        </w:rPr>
        <w:t xml:space="preserve">Core operating profit </w:t>
      </w:r>
      <w:r>
        <w:rPr>
          <w:rFonts w:ascii="Times New Roman" w:hAnsi="Times New Roman"/>
          <w:color w:val="000000"/>
          <w:sz w:val="20"/>
        </w:rPr>
        <w:t xml:space="preserve">grew 8% YoY.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OP margin </w:t>
      </w:r>
      <w:r>
        <w:rPr>
          <w:rFonts w:ascii="Times New Roman" w:hAnsi="Times New Roman"/>
          <w:color w:val="000000"/>
          <w:sz w:val="20"/>
        </w:rPr>
        <w:t>was 12.5%, an increase of 40 basis points YoY, supported by restaurant margin expansion.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Restaurant margin </w:t>
      </w:r>
      <w:r>
        <w:rPr>
          <w:rFonts w:ascii="Times New Roman" w:hAnsi="Times New Roman"/>
          <w:color w:val="000000"/>
          <w:sz w:val="20"/>
        </w:rPr>
        <w:t xml:space="preserve">was 17.3%, an increase of 30 basis points YoY, driven primarily by savings in Food and Paper cost and Occupancy and Other Operating expenses.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Diluted EPS </w:t>
      </w:r>
      <w:r>
        <w:rPr>
          <w:rFonts w:ascii="Times New Roman" w:hAnsi="Times New Roman"/>
          <w:color w:val="000000"/>
          <w:sz w:val="20"/>
        </w:rPr>
        <w:t xml:space="preserve">decreased 1% YoY to $0.76, also down 1% excluding F/X, but would have increased 11% YoY excluding the negative impact of $0.09 from the mark-to-market equity investments in the 2025 and 2024 third quarters and F/X.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Returned $414 million to shareholders in the third quarter through $326 million in </w:t>
      </w:r>
      <w:r>
        <w:rPr>
          <w:rFonts w:ascii="Times New Roman" w:hAnsi="Times New Roman"/>
          <w:b/>
          <w:color w:val="000000"/>
          <w:sz w:val="20"/>
        </w:rPr>
        <w:t>share repurchases</w:t>
      </w:r>
      <w:r>
        <w:rPr>
          <w:color w:val="000000"/>
        </w:rPr>
        <w:t xml:space="preserve"> </w:t>
      </w:r>
      <w:r>
        <w:rPr>
          <w:rFonts w:ascii="Times New Roman" w:hAnsi="Times New Roman"/>
          <w:color w:val="000000"/>
          <w:sz w:val="20"/>
        </w:rPr>
        <w:t xml:space="preserve">and $88 million in </w:t>
      </w:r>
      <w:r>
        <w:rPr>
          <w:rFonts w:ascii="Times New Roman" w:hAnsi="Times New Roman"/>
          <w:b/>
          <w:color w:val="000000"/>
          <w:sz w:val="20"/>
        </w:rPr>
        <w:t>cash dividends</w:t>
      </w:r>
      <w:r>
        <w:rPr>
          <w:rFonts w:ascii="Times New Roman" w:hAnsi="Times New Roman"/>
          <w:color w:val="000000"/>
          <w:sz w:val="20"/>
        </w:rPr>
        <w:t>. In the first nine months of 2025, the Company returned $950 million to shareholders.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Delivery sales</w:t>
      </w:r>
      <w:r>
        <w:rPr>
          <w:color w:val="000000"/>
        </w:rPr>
        <w:t xml:space="preserve"> </w:t>
      </w:r>
      <w:r>
        <w:rPr>
          <w:rFonts w:ascii="Times New Roman" w:hAnsi="Times New Roman"/>
          <w:color w:val="000000"/>
          <w:sz w:val="20"/>
        </w:rPr>
        <w:t xml:space="preserve">grew 32% YoY. Delivery contributed approximately 51% of total Company sales.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Digital sales </w:t>
      </w:r>
      <w:r>
        <w:rPr>
          <w:rFonts w:ascii="Times New Roman" w:hAnsi="Times New Roman"/>
          <w:color w:val="000000"/>
          <w:sz w:val="20"/>
        </w:rPr>
        <w:t xml:space="preserve">reached $2.8 billion, with </w:t>
      </w:r>
      <w:r>
        <w:rPr>
          <w:rFonts w:ascii="Times New Roman" w:hAnsi="Times New Roman"/>
          <w:b/>
          <w:color w:val="000000"/>
          <w:sz w:val="20"/>
        </w:rPr>
        <w:t xml:space="preserve">digital ordering </w:t>
      </w:r>
      <w:r>
        <w:rPr>
          <w:rFonts w:ascii="Times New Roman" w:hAnsi="Times New Roman"/>
          <w:color w:val="000000"/>
          <w:sz w:val="20"/>
        </w:rPr>
        <w:t>accounting for approximately 95% of total Company sales.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Total KFC and Pizza Hut membership</w:t>
      </w:r>
      <w:r>
        <w:rPr>
          <w:color w:val="000000"/>
        </w:rPr>
        <w:t xml:space="preserve"> </w:t>
      </w:r>
      <w:r>
        <w:rPr>
          <w:rFonts w:ascii="Times New Roman" w:hAnsi="Times New Roman"/>
          <w:color w:val="000000"/>
          <w:sz w:val="20"/>
        </w:rPr>
        <w:t>exceeded 575 million, up 13% YoY. Member sales accounted for approximately 57% of KFC and Pizza Hut’s system sales in aggregate.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CEO Comments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Joey Wat, CEO of Yum China, commented, “We delivered another solid quarter in a dynamic market – accelerating store openings, achieving positive same</w:t>
        <w:noBreakHyphen/>
        <w:t>store sales growth, and expanding margins. Delivering across all three dimensions was no easy task. It reflected the effectiveness of our dual focus on innovation and operational efficiency. KFC grew at its fastest store</w:t>
        <w:noBreakHyphen/>
        <w:t>opening pace year</w:t>
        <w:noBreakHyphen/>
        <w:t>to</w:t>
        <w:noBreakHyphen/>
        <w:t>date, while Pizza Hut has accelerated expansion, surpassing the 4,000</w:t>
        <w:noBreakHyphen/>
        <w:t xml:space="preserve">store milestone in the quarter. Our flexible store formats, together with our franchise strategy, enable faster market entry with lower investment.”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Wat continued, “We are driving strong growth in our hero products while expanding into new growth drivers. At KFC, we expanded our wing lineup with Crackling Golden Chicken Wings, complementing our flagship New Orleans Roasted Wings and Hot Wings, cementing wings as one of our hero categories. During the promotion, sales of the new wings surged, matching the popularity of our flagship roasted wings. At Pizza Hut, our new hand</w:t>
        <w:noBreakHyphen/>
        <w:t>crafted thin</w:t>
        <w:noBreakHyphen/>
        <w:t>crust pizza earned rave reviews, drove promising repeat purchases and quickly became our best</w:t>
        <w:noBreakHyphen/>
        <w:t>selling crust.”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Wat concluded, “On the front end, our multi-brand portfolio, diverse store modules and offerings cater to a wide range of customer segments and occasions. On the back end, we are fostering even greater synergies by sharing and consolidating resources in and across stores and regions to enhance efficiency. KCOFFEE cafes now exceed 1,800 locations, well above our initial plan. KPRO, focused on energy bowls and superfood smoothies, has grown to over 100 locations in higher-tier cities. By sharing in-store resources and KFC membership programs, we scaled these modules quickly and delivered incremental sales and profit. Building on our core competencies, our established RGM (“Resilience, Growth and Moat”) strategy and the steadfast execution of our teams, we are confident in our growth potential and look forward to sharing more at our upcoming investor day.”</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Key Financial Results</w:t>
      </w:r>
    </w:p>
    <w:tbl>
      <w:tblPr>
        <w:tblW w:w="10205" w:type="dxa"/>
        <w:jc w:val="left"/>
        <w:tblInd w:w="0" w:type="dxa"/>
        <w:tblLayout w:type="fixed"/>
        <w:tblCellMar>
          <w:top w:w="28" w:type="dxa"/>
          <w:left w:w="28" w:type="dxa"/>
          <w:bottom w:w="28" w:type="dxa"/>
          <w:right w:w="28" w:type="dxa"/>
        </w:tblCellMar>
      </w:tblPr>
      <w:tblGrid>
        <w:gridCol w:w="1959"/>
        <w:gridCol w:w="146"/>
        <w:gridCol w:w="466"/>
        <w:gridCol w:w="146"/>
        <w:gridCol w:w="146"/>
        <w:gridCol w:w="146"/>
        <w:gridCol w:w="466"/>
        <w:gridCol w:w="166"/>
        <w:gridCol w:w="146"/>
        <w:gridCol w:w="211"/>
        <w:gridCol w:w="675"/>
        <w:gridCol w:w="166"/>
        <w:gridCol w:w="146"/>
        <w:gridCol w:w="156"/>
        <w:gridCol w:w="500"/>
        <w:gridCol w:w="166"/>
        <w:gridCol w:w="146"/>
        <w:gridCol w:w="146"/>
        <w:gridCol w:w="146"/>
        <w:gridCol w:w="571"/>
        <w:gridCol w:w="146"/>
        <w:gridCol w:w="146"/>
        <w:gridCol w:w="146"/>
        <w:gridCol w:w="571"/>
        <w:gridCol w:w="166"/>
        <w:gridCol w:w="146"/>
        <w:gridCol w:w="211"/>
        <w:gridCol w:w="675"/>
        <w:gridCol w:w="166"/>
        <w:gridCol w:w="146"/>
        <w:gridCol w:w="156"/>
        <w:gridCol w:w="500"/>
        <w:gridCol w:w="214"/>
      </w:tblGrid>
      <w:tr>
        <w:trPr/>
        <w:tc>
          <w:tcPr>
            <w:tcW w:w="1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59"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3682"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Third Quarter</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892"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 9/30</w:t>
            </w:r>
          </w:p>
        </w:tc>
        <w:tc>
          <w:tcPr>
            <w:tcW w:w="21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2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2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System Sales Growth </w:t>
            </w:r>
            <w:r>
              <w:rPr>
                <w:rFonts w:ascii="Times New Roman" w:hAnsi="Times New Roman"/>
                <w:color w:val="000000"/>
                <w:sz w:val="13"/>
              </w:rPr>
              <w:t>(1)</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Same-Store Sales Growth </w:t>
            </w:r>
            <w:r>
              <w:rPr>
                <w:rFonts w:ascii="Times New Roman" w:hAnsi="Times New Roman"/>
                <w:color w:val="000000"/>
                <w:sz w:val="13"/>
              </w:rPr>
              <w:t>(1)</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Operating Profit </w:t>
            </w:r>
            <w:r>
              <w:rPr>
                <w:rFonts w:ascii="Times New Roman" w:hAnsi="Times New Roman"/>
                <w:color w:val="000000"/>
                <w:sz w:val="13"/>
              </w:rPr>
              <w:t xml:space="preserve">(2) </w:t>
            </w:r>
            <w:r>
              <w:rPr>
                <w:rFonts w:ascii="Times New Roman" w:hAnsi="Times New Roman"/>
                <w:color w:val="000000"/>
                <w:sz w:val="20"/>
              </w:rPr>
              <w:t>($mn)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Operating Profit </w:t>
            </w:r>
            <w:r>
              <w:rPr>
                <w:rFonts w:ascii="Times New Roman" w:hAnsi="Times New Roman"/>
                <w:color w:val="000000"/>
                <w:sz w:val="13"/>
              </w:rPr>
              <w:t>(2)</w:t>
            </w:r>
            <w:r>
              <w:rPr>
                <w:rFonts w:ascii="Times New Roman" w:hAnsi="Times New Roman"/>
                <w:color w:val="000000"/>
                <w:sz w:val="20"/>
              </w:rPr>
              <w:t xml:space="preserve"> </w:t>
            </w:r>
            <w:r>
              <w:rPr>
                <w:rFonts w:ascii="Times New Roman" w:hAnsi="Times New Roman"/>
                <w:color w:val="000000"/>
                <w:sz w:val="13"/>
              </w:rPr>
              <w:t xml:space="preserve">(3) </w:t>
            </w:r>
            <w:r>
              <w:rPr>
                <w:rFonts w:ascii="Times New Roman" w:hAnsi="Times New Roman"/>
                <w:color w:val="000000"/>
                <w:sz w:val="20"/>
              </w:rPr>
              <w:t>($mn)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 Margin </w:t>
            </w:r>
            <w:r>
              <w:rPr>
                <w:rFonts w:ascii="Times New Roman" w:hAnsi="Times New Roman"/>
                <w:color w:val="000000"/>
                <w:sz w:val="13"/>
              </w:rPr>
              <w:t xml:space="preserve">(4) </w:t>
            </w:r>
            <w:r>
              <w:rPr>
                <w:rFonts w:ascii="Times New Roman" w:hAnsi="Times New Roman"/>
                <w:color w:val="000000"/>
                <w:sz w:val="20"/>
              </w:rPr>
              <w:t>(%)</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OP Margin </w:t>
            </w:r>
            <w:r>
              <w:rPr>
                <w:rFonts w:ascii="Times New Roman" w:hAnsi="Times New Roman"/>
                <w:color w:val="000000"/>
                <w:sz w:val="13"/>
              </w:rPr>
              <w:t>(2)</w:t>
            </w:r>
            <w:r>
              <w:rPr>
                <w:rFonts w:ascii="Times New Roman" w:hAnsi="Times New Roman"/>
                <w:color w:val="000000"/>
                <w:sz w:val="20"/>
              </w:rPr>
              <w:t xml:space="preserve"> </w:t>
            </w:r>
            <w:r>
              <w:rPr>
                <w:rFonts w:ascii="Times New Roman" w:hAnsi="Times New Roman"/>
                <w:color w:val="000000"/>
                <w:sz w:val="13"/>
              </w:rPr>
              <w:t>(5)</w:t>
            </w:r>
            <w:r>
              <w:rPr>
                <w:rFonts w:ascii="Times New Roman" w:hAnsi="Times New Roman"/>
                <w:color w:val="000000"/>
                <w:sz w:val="20"/>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Income </w:t>
            </w:r>
            <w:r>
              <w:rPr>
                <w:rFonts w:ascii="Times New Roman" w:hAnsi="Times New Roman"/>
                <w:color w:val="000000"/>
                <w:sz w:val="13"/>
              </w:rPr>
              <w:t xml:space="preserve">(2) </w:t>
            </w:r>
            <w:r>
              <w:rPr>
                <w:rFonts w:ascii="Times New Roman" w:hAnsi="Times New Roman"/>
                <w:color w:val="000000"/>
                <w:sz w:val="20"/>
              </w:rPr>
              <w:t>($mn)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Diluted Earnings </w:t>
              <w:br/>
              <w:t>  Per Common Share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95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Diluted Earnings </w:t>
              <w:br/>
              <w:t xml:space="preserve">  Per Common Share </w:t>
            </w:r>
            <w:r>
              <w:rPr>
                <w:rFonts w:ascii="Times New Roman" w:hAnsi="Times New Roman"/>
                <w:color w:val="000000"/>
                <w:sz w:val="13"/>
              </w:rPr>
              <w:t xml:space="preserve">(2) </w:t>
            </w: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0"/>
        </w:rPr>
        <w:t xml:space="preserve">1 </w:t>
      </w:r>
      <w:r>
        <w:rPr>
          <w:rFonts w:ascii="Times New Roman" w:hAnsi="Times New Roman"/>
          <w:color w:val="000000"/>
          <w:sz w:val="15"/>
        </w:rPr>
        <w:t>System sales and same-store sales percentages exclude the impact of F/X. Effective January 1, 2018, temporary store closures are normalized in the same-store sales calculation by excluding the period during which stores are temporarily closed.</w:t>
      </w:r>
    </w:p>
    <w:p>
      <w:pPr>
        <w:pStyle w:val="TextBody"/>
        <w:bidi w:val="0"/>
        <w:jc w:val="both"/>
        <w:rPr>
          <w:rFonts w:ascii="Times New Roman" w:hAnsi="Times New Roman"/>
          <w:sz w:val="20"/>
        </w:rPr>
      </w:pPr>
      <w:r>
        <w:rPr>
          <w:rFonts w:ascii="Times New Roman" w:hAnsi="Times New Roman"/>
          <w:color w:val="000000"/>
          <w:sz w:val="10"/>
        </w:rPr>
        <w:t xml:space="preserve">2 </w:t>
      </w:r>
      <w:r>
        <w:rPr>
          <w:rFonts w:ascii="Times New Roman" w:hAnsi="Times New Roman"/>
          <w:color w:val="000000"/>
          <w:sz w:val="15"/>
        </w:rPr>
        <w:t>See “Reconciliation of Reported GAAP Results to Non-GAAP Measures” included in the accompanying tables of this release for further details.</w:t>
      </w:r>
    </w:p>
    <w:p>
      <w:pPr>
        <w:pStyle w:val="TextBody"/>
        <w:bidi w:val="0"/>
        <w:jc w:val="both"/>
        <w:rPr>
          <w:rFonts w:ascii="Times New Roman" w:hAnsi="Times New Roman"/>
          <w:sz w:val="20"/>
        </w:rPr>
      </w:pPr>
      <w:r>
        <w:rPr>
          <w:rFonts w:ascii="Times New Roman" w:hAnsi="Times New Roman"/>
          <w:color w:val="000000"/>
          <w:sz w:val="10"/>
        </w:rPr>
        <w:t xml:space="preserve">3 </w:t>
      </w:r>
      <w:r>
        <w:rPr>
          <w:rFonts w:ascii="Times New Roman" w:hAnsi="Times New Roman"/>
          <w:color w:val="000000"/>
          <w:sz w:val="15"/>
        </w:rPr>
        <w:t>Core operating profit is defined as operating profit adjusted for special items, further excluding items affecting comparability and the impact of F/X. The Company uses core operating profit for the purposes of evaluating the performance of its core operations. Current period amounts are derived by translating results at average exchange rates of the prior year period.</w:t>
      </w:r>
    </w:p>
    <w:p>
      <w:pPr>
        <w:pStyle w:val="TextBody"/>
        <w:bidi w:val="0"/>
        <w:jc w:val="both"/>
        <w:rPr>
          <w:rFonts w:ascii="Times New Roman" w:hAnsi="Times New Roman"/>
          <w:sz w:val="20"/>
        </w:rPr>
      </w:pPr>
      <w:r>
        <w:rPr>
          <w:rFonts w:ascii="Times New Roman" w:hAnsi="Times New Roman"/>
          <w:color w:val="000000"/>
          <w:sz w:val="10"/>
        </w:rPr>
        <w:t xml:space="preserve">4 </w:t>
      </w:r>
      <w:r>
        <w:rPr>
          <w:rFonts w:ascii="Times New Roman" w:hAnsi="Times New Roman"/>
          <w:color w:val="000000"/>
          <w:sz w:val="15"/>
        </w:rPr>
        <w:t>OP margin refers to operating profit as a percentage of total revenues.</w:t>
      </w:r>
    </w:p>
    <w:p>
      <w:pPr>
        <w:pStyle w:val="TextBody"/>
        <w:bidi w:val="0"/>
        <w:jc w:val="both"/>
        <w:rPr>
          <w:rFonts w:ascii="Times New Roman" w:hAnsi="Times New Roman"/>
          <w:sz w:val="20"/>
        </w:rPr>
      </w:pPr>
      <w:r>
        <w:rPr>
          <w:rFonts w:ascii="Times New Roman" w:hAnsi="Times New Roman"/>
          <w:color w:val="000000"/>
          <w:sz w:val="10"/>
        </w:rPr>
        <w:t>5</w:t>
      </w:r>
      <w:r>
        <w:rPr>
          <w:rFonts w:ascii="Times New Roman" w:hAnsi="Times New Roman"/>
          <w:color w:val="000000"/>
          <w:sz w:val="20"/>
        </w:rPr>
        <w:t xml:space="preserve"> </w:t>
      </w:r>
      <w:r>
        <w:rPr>
          <w:rFonts w:ascii="Times New Roman" w:hAnsi="Times New Roman"/>
          <w:color w:val="000000"/>
          <w:sz w:val="15"/>
        </w:rPr>
        <w:t>Core OP margin refers to core operating profit as a percentage of total revenues excluding F/X.</w:t>
      </w:r>
    </w:p>
    <w:p>
      <w:pPr>
        <w:pStyle w:val="TextBody"/>
        <w:bidi w:val="0"/>
        <w:jc w:val="left"/>
        <w:rPr>
          <w:rFonts w:ascii="Times New Roman" w:hAnsi="Times New Roman"/>
          <w:sz w:val="20"/>
        </w:rPr>
      </w:pPr>
      <w:r>
        <w:rPr>
          <w:rFonts w:ascii="Times New Roman" w:hAnsi="Times New Roman"/>
          <w:i/>
          <w:color w:val="000000"/>
          <w:sz w:val="15"/>
        </w:rPr>
        <w:t>Note</w:t>
      </w:r>
      <w:r>
        <w:rPr>
          <w:rFonts w:ascii="Times New Roman" w:hAnsi="Times New Roman"/>
          <w:color w:val="000000"/>
          <w:sz w:val="15"/>
        </w:rPr>
        <w:t>: All comparisons are versus the same period a year ago.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5"/>
        </w:rPr>
        <w:t>Percentages may not recompute due to rounding.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5"/>
        </w:rPr>
        <w:t>NM refers to not meaningful.</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Capital Returns to Shareholders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on track to return a total of $3 billion to shareholders in 2025 through 2026, in addition to the $1.5 billion delivered to shareholders in 2024. The average annual amount of capital return over the three years is around 9% of our market capitalization as of November 3,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first nine months of 2025, the Company returned $950 million in capital to shareholders through $682 million in share repurchases and $268 million in cash dividends. The Company expects to return a total of approximately $1.5 billion to shareholders in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approximately $610 million remained available for future share repurchases under the current authorization program.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declared a cash dividend of $0.24 per share on Yum China’s common stock, payable on December 23, 2025 to shareholders of record as of the close of business on December 2,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KFC</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07"/>
        <w:gridCol w:w="146"/>
        <w:gridCol w:w="676"/>
        <w:gridCol w:w="146"/>
        <w:gridCol w:w="146"/>
        <w:gridCol w:w="146"/>
        <w:gridCol w:w="676"/>
        <w:gridCol w:w="166"/>
        <w:gridCol w:w="146"/>
        <w:gridCol w:w="211"/>
        <w:gridCol w:w="675"/>
        <w:gridCol w:w="146"/>
        <w:gridCol w:w="146"/>
        <w:gridCol w:w="156"/>
        <w:gridCol w:w="498"/>
        <w:gridCol w:w="146"/>
        <w:gridCol w:w="146"/>
        <w:gridCol w:w="676"/>
        <w:gridCol w:w="146"/>
        <w:gridCol w:w="146"/>
        <w:gridCol w:w="146"/>
        <w:gridCol w:w="676"/>
        <w:gridCol w:w="166"/>
        <w:gridCol w:w="146"/>
        <w:gridCol w:w="211"/>
        <w:gridCol w:w="675"/>
        <w:gridCol w:w="146"/>
        <w:gridCol w:w="146"/>
        <w:gridCol w:w="156"/>
        <w:gridCol w:w="498"/>
        <w:gridCol w:w="192"/>
      </w:tblGrid>
      <w:tr>
        <w:trPr/>
        <w:tc>
          <w:tcPr>
            <w:tcW w:w="1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707"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4080"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Third Quarter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4080"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 9/30</w:t>
            </w:r>
          </w:p>
        </w:tc>
        <w:tc>
          <w:tcPr>
            <w:tcW w:w="19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0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0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Margin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System sales for KFC grew 5% YoY. Same-store sales increased 2% YoY, and same-store transactions grew 3% YoY. Ticket average was 1% lower YoY, driven mainly by the rapid growth of smaller orders.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Delivery sales grew 33% YoY, contributing approximately 51% of KFC’s Company sales.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KFC opened a third-quarter record of 402 net new stores, with 163 net new stores opened by franchisees, accounting for 41%. KFC opened 992 net new stores year-to-date, bringing the total store count to 12,640 as of September 30, 2025.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profit grew 6% YoY to $384 million, a record level for the third quarter. Core operating profit increased 6%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 margin was 16.0%, an increase of 30 basis points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Restaurant margin was 18.5%, expanding 20 basis points YoY, primarily due to streamlined operations and favorable commodity prices, partially offset by the impact of higher rider cost due to the increased delivery mix and increased value-for-money offerings.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Pizza Hut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78"/>
        <w:gridCol w:w="146"/>
        <w:gridCol w:w="571"/>
        <w:gridCol w:w="146"/>
        <w:gridCol w:w="146"/>
        <w:gridCol w:w="146"/>
        <w:gridCol w:w="571"/>
        <w:gridCol w:w="166"/>
        <w:gridCol w:w="146"/>
        <w:gridCol w:w="211"/>
        <w:gridCol w:w="675"/>
        <w:gridCol w:w="146"/>
        <w:gridCol w:w="146"/>
        <w:gridCol w:w="161"/>
        <w:gridCol w:w="516"/>
        <w:gridCol w:w="146"/>
        <w:gridCol w:w="146"/>
        <w:gridCol w:w="571"/>
        <w:gridCol w:w="146"/>
        <w:gridCol w:w="146"/>
        <w:gridCol w:w="146"/>
        <w:gridCol w:w="571"/>
        <w:gridCol w:w="166"/>
        <w:gridCol w:w="146"/>
        <w:gridCol w:w="211"/>
        <w:gridCol w:w="675"/>
        <w:gridCol w:w="146"/>
        <w:gridCol w:w="146"/>
        <w:gridCol w:w="161"/>
        <w:gridCol w:w="516"/>
        <w:gridCol w:w="195"/>
      </w:tblGrid>
      <w:tr>
        <w:trPr/>
        <w:tc>
          <w:tcPr>
            <w:tcW w:w="2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78"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3893"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Third Quarter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3893"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 9/30</w:t>
            </w:r>
          </w:p>
        </w:tc>
        <w:tc>
          <w:tcPr>
            <w:tcW w:w="19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Margin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System sales for Pizza Hut grew 4% YoY. Same-store sales increased 1% YoY. Same-store transactions grew 17% YoY, the eleventh consecutive quarter of growth. Ticket average was 13% lower YoY, consistent with our strategy and driven mainly by better value-for-money.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Pizza Hut opened a record 158 net new stores during the quarter, with 45 net new stores opened by franchisees, accounting for 28%. Pizza Hut opened 298 net new stores year-to-date, bringing the total store count to 4,022 as of September 30,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Delivery sales grew 27% YoY, contributing approximately 48% of Pizza Hut’s Company sales.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profit grew 7% YoY to $57 million. Core operating profit increased 7%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 margin was 8.9%, an increase of 30 basis points YoY.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Restaurant margin was 13.4%, expanding 60 basis points YoY, primarily due to favorable commodity prices, streamlined operations and automation, partially offset by the impact of increased value-for-money offerings and increased cost associated with higher delivery sales mix.</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Outlook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targets: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Approximately 1,600 to 1,800 net new stores in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franchise mix of net new stores to reach 40-50% for KFC and 20-30% for Pizza Hut in 2025, ahead of schedule and to moderately increase the mix within the guided range over the next few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expenditures in the range of approximately $600 million to $700 million for the 2025 fiscal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plans to return $3 billion to shareholders in 2025 through 2026, in addition to the $1.5 billion it delivered to shareholders in 2024.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Company Updates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Yum China will host an investor day on November 17, 2025 in Shenzhen, China. A live webcast, replay, and presentation slides will be available on the Company’s website at </w:t>
      </w:r>
      <w:r>
        <w:rPr>
          <w:rFonts w:ascii="Times New Roman" w:hAnsi="Times New Roman"/>
          <w:sz w:val="20"/>
        </w:rPr>
        <w:t>http://ir.yumchina.com</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Yum China was named to Fortune’s 2025 “Change the World” list, which recognizes companies that create positive social impact through activities that are part of their core business strategy. This year’s recognition highlights KFC China’s Food Bank program and marks the Company’s second appearance on the list, following its One Yuan Donation Program in 2023.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Yum China was honored with the Ram Charan Management Practice Award, presented by Harvard Business Review (Chinese Edition) to outstanding Chinese companies. The Company was recognized for its human capital management and transformation initiatives, harnessing AI to enhance operational efficiency and fuel business growth.</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on Non-GAAP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Reported GAAP results include items that are excluded from non-GAAP measures. See “Reconciliation of Reported GAAP Results to Non-GAAP Measures” and “Segment Results” within this release for non-GAAP reconciliation details. </w:t>
      </w:r>
    </w:p>
    <w:p>
      <w:pPr>
        <w:pStyle w:val="TextBody"/>
        <w:bidi w:val="0"/>
        <w:spacing w:before="120" w:after="283"/>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Yum China’s management will hold an earnings conference call at 7:00 a.m. U.S. Eastern Time on Tuesday, November 4, 2025 (8:00 p.m. Beijing/Hong Kong Time on Tuesday, November 4, 2025). </w:t>
      </w:r>
    </w:p>
    <w:p>
      <w:pPr>
        <w:pStyle w:val="TextBody"/>
        <w:bidi w:val="0"/>
        <w:jc w:val="left"/>
        <w:rPr>
          <w:rFonts w:ascii="Times New Roman" w:hAnsi="Times New Roman"/>
          <w:sz w:val="20"/>
        </w:rPr>
      </w:pPr>
      <w:r>
        <w:rPr>
          <w:rFonts w:ascii="Times New Roman" w:hAnsi="Times New Roman"/>
          <w:color w:val="000000"/>
          <w:sz w:val="20"/>
        </w:rPr>
        <w:t xml:space="preserve">A live webcast of the call may be accessed at </w:t>
      </w:r>
      <w:r>
        <w:rPr>
          <w:rFonts w:ascii="Times New Roman" w:hAnsi="Times New Roman"/>
          <w:sz w:val="20"/>
        </w:rPr>
        <w:t>https://edge.media-server.com/mmc/p/4vatr2tq.</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join by phone, please register in advance of the conference through the link provided below. Upon registering, you will be provided with participant dial-in numbers and a unique access PIN.</w:t>
      </w:r>
    </w:p>
    <w:p>
      <w:pPr>
        <w:pStyle w:val="TextBody"/>
        <w:bidi w:val="0"/>
        <w:jc w:val="left"/>
        <w:rPr>
          <w:rFonts w:ascii="Times New Roman" w:hAnsi="Times New Roman"/>
          <w:sz w:val="20"/>
        </w:rPr>
      </w:pPr>
      <w:r>
        <w:rPr>
          <w:rFonts w:ascii="Times New Roman" w:hAnsi="Times New Roman"/>
          <w:color w:val="000000"/>
          <w:sz w:val="20"/>
        </w:rPr>
        <w:t xml:space="preserve">Pre-registration Link: </w:t>
      </w:r>
      <w:r>
        <w:rPr>
          <w:rFonts w:ascii="Times New Roman" w:hAnsi="Times New Roman"/>
          <w:sz w:val="20"/>
        </w:rPr>
        <w:t xml:space="preserve">https://register-conf.media-server.com/register/BI9e7407ad602f441ea518cca00c739e9d </w:t>
      </w:r>
    </w:p>
    <w:p>
      <w:pPr>
        <w:pStyle w:val="TextBody"/>
        <w:bidi w:val="0"/>
        <w:jc w:val="both"/>
        <w:rPr>
          <w:rFonts w:ascii="Times New Roman" w:hAnsi="Times New Roman"/>
          <w:sz w:val="20"/>
        </w:rPr>
      </w:pPr>
      <w:r>
        <w:rPr>
          <w:rFonts w:ascii="Times New Roman" w:hAnsi="Times New Roman"/>
          <w:color w:val="000000"/>
          <w:sz w:val="20"/>
        </w:rPr>
        <w:t xml:space="preserve">A replay of the webcast will be available two hours after the event and will remain accessible until November 3, 2026. Additionally, earnings release accompanying slides will be available at the Company’s Investor Relations website </w:t>
      </w:r>
      <w:r>
        <w:rPr>
          <w:rFonts w:ascii="Times New Roman" w:hAnsi="Times New Roman"/>
          <w:sz w:val="20"/>
        </w:rPr>
        <w:t>http://ir.yumchina.com</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important news and information regarding Yum China, including our filings with the U.S. Securities and Exchange Commission and the Hong Kong Stock Exchange, visit Yum China's Investor Relations website at </w:t>
      </w:r>
      <w:r>
        <w:rPr>
          <w:rFonts w:ascii="Times New Roman" w:hAnsi="Times New Roman"/>
          <w:sz w:val="20"/>
        </w:rPr>
        <w:t>http://ir.yumchina.com</w:t>
      </w:r>
      <w:r>
        <w:rPr>
          <w:rFonts w:ascii="Times New Roman" w:hAnsi="Times New Roman"/>
          <w:color w:val="000000"/>
          <w:sz w:val="20"/>
        </w:rPr>
        <w:t>. Yum China uses this website as a primary channel for disclosing key information to its investors, some of which may contain material and previously non-public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Section 27A of the Securities Act of 1933 and Section 21E of the Securities Exchange Act of 1934, including statements relating to our projected capital returns for 2025 and 2026 and those set forth under the section titled “Outlook.”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us in light of our experience and perception of historical trends, current conditions and expected future developments, as well as other factors that we believe are appropriate and reasonable under the circumstances, but there can be no assurance that such estimates and assumptions will prove to be correct. Forward-looking statements include, without limitation, statements regarding the future strategies, growth, business plans, investments, store openings, franchise mix of net new stores, capital expenditures, dividend and share repurchase plans, CAGR for system sales, operating profit and EPS, earnings, performance and returns of Yum China, anticipated effects of population and macroeconomic trends, pace of recovery of Yum China's business, the anticipated effects of our innovation, digital and delivery capabilities and investments on growth and beliefs regarding the long-term drivers of Yum China’s business. Forward-looking 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press release are only made as of the date of this press release, and we disclaim any obligation to publicly update any forward-looking statement to reflect subsequent events or circumstances, except as required by law. Numerous factors could cause our actual results or events to differ materially from those expressed or implied by forward-looking statements, including, without limitation: whether we are able to achieve development goals at the times and in the amounts currently anticipated, if at all, the success of our marketing campaigns and product innovation, our ability to maintain food safety and quality control systems, changes in public health conditions, our ability to control costs and expenses, including tax costs, changes in political, economic and regulatory conditions in China, as well as changes in political, business, economic and trade relations between the U.S. and China, and those set forth under the caption “Risk Factors” in our Annual Report on Form 10-K and subsequent Quarterly Reports on Form 10-Q. Our plan of capital returns to shareholders is based on current expectations, which may change based on market conditions, capital needs or otherwise.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 “Management’s Discussion and Analysis of Financial Condition and Results of Operations” in our Annual Report on Form 10-K and subsequent Quarterly Reports on Form 10-Q) for additional detail about factors that could affect our financial and other results.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About Yum China Holdings,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Yum China is the largest restaurant company in China with a mission to make every life taste beautiful. The Company operates over 17,000 restaurants under six brands across over 2,500 cities in China. KFC and Pizza Hut are the leading brands in the quick-service and casual dining restaurant spaces in China, respectively. In addition, Yum China has partnered with Lavazza to develop the Lavazza coffee concept in China. Little Sheep and Huang Ji Huang specialize in Chinese cuisine. Taco Bell offers innovative Mexican-inspired food. Yum China has a world-class, digitalized supply chain, which includes an extensive network of logistics centers nationwide and an in-house supply chain management system. Its strong digital capabilities and loyalty program enable the Company to reach customers faster and serve them better. Yum China is a Fortune 500 company with the vision to be the world’s most innovative pioneer in the restaurant industry. For more information, please visit </w:t>
      </w:r>
      <w:r>
        <w:rPr>
          <w:rFonts w:ascii="Times New Roman" w:hAnsi="Times New Roman"/>
          <w:sz w:val="20"/>
        </w:rPr>
        <w:t>http://ir.yumchina.com.</w:t>
      </w:r>
    </w:p>
    <w:p>
      <w:pPr>
        <w:pStyle w:val="TextBody"/>
        <w:bidi w:val="0"/>
        <w:spacing w:before="80" w:after="283"/>
        <w:jc w:val="both"/>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Contacts</w:t>
      </w:r>
    </w:p>
    <w:p>
      <w:pPr>
        <w:pStyle w:val="TextBody"/>
        <w:bidi w:val="0"/>
        <w:jc w:val="both"/>
        <w:rPr/>
      </w:pPr>
      <w:r>
        <w:rPr/>
        <w:t> </w:t>
      </w:r>
    </w:p>
    <w:tbl>
      <w:tblPr>
        <w:tblW w:w="2438" w:type="dxa"/>
        <w:jc w:val="left"/>
        <w:tblInd w:w="0" w:type="dxa"/>
        <w:tblLayout w:type="fixed"/>
        <w:tblCellMar>
          <w:top w:w="28" w:type="dxa"/>
          <w:left w:w="28" w:type="dxa"/>
          <w:bottom w:w="28" w:type="dxa"/>
          <w:right w:w="28" w:type="dxa"/>
        </w:tblCellMar>
      </w:tblPr>
      <w:tblGrid>
        <w:gridCol w:w="161"/>
        <w:gridCol w:w="146"/>
        <w:gridCol w:w="21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Investor Relations Contact: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 xml:space="preserve">Tel: +86 21 2407 7556 </w:t>
            </w:r>
          </w:p>
          <w:p>
            <w:pPr>
              <w:pStyle w:val="TableContents"/>
              <w:bidi w:val="0"/>
              <w:jc w:val="left"/>
              <w:rPr>
                <w:rFonts w:ascii="Times New Roman" w:hAnsi="Times New Roman"/>
                <w:sz w:val="20"/>
              </w:rPr>
            </w:pPr>
            <w:r>
              <w:rPr>
                <w:rFonts w:ascii="Times New Roman" w:hAnsi="Times New Roman"/>
                <w:sz w:val="20"/>
              </w:rPr>
              <w:t>IR@YumChina.com</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Media Contact: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Tel: +86 21 2407 3824 </w:t>
            </w:r>
          </w:p>
          <w:p>
            <w:pPr>
              <w:pStyle w:val="TableContents"/>
              <w:bidi w:val="0"/>
              <w:spacing w:before="0" w:after="283"/>
              <w:jc w:val="left"/>
              <w:rPr>
                <w:rFonts w:ascii="Times New Roman" w:hAnsi="Times New Roman"/>
                <w:sz w:val="20"/>
              </w:rPr>
            </w:pPr>
            <w:r>
              <w:rPr>
                <w:rFonts w:ascii="Times New Roman" w:hAnsi="Times New Roman"/>
                <w:sz w:val="20"/>
              </w:rPr>
              <w:t>Media@YumChina.com</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solidated_summary_of_results"/>
      <w:bookmarkEnd w:id="6"/>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US$ million,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5"/>
        <w:gridCol w:w="146"/>
        <w:gridCol w:w="217"/>
        <w:gridCol w:w="569"/>
        <w:gridCol w:w="256"/>
        <w:gridCol w:w="146"/>
        <w:gridCol w:w="217"/>
        <w:gridCol w:w="569"/>
        <w:gridCol w:w="256"/>
        <w:gridCol w:w="146"/>
        <w:gridCol w:w="146"/>
        <w:gridCol w:w="391"/>
        <w:gridCol w:w="166"/>
        <w:gridCol w:w="451"/>
        <w:gridCol w:w="146"/>
        <w:gridCol w:w="217"/>
        <w:gridCol w:w="569"/>
        <w:gridCol w:w="256"/>
        <w:gridCol w:w="146"/>
        <w:gridCol w:w="217"/>
        <w:gridCol w:w="569"/>
        <w:gridCol w:w="256"/>
        <w:gridCol w:w="146"/>
        <w:gridCol w:w="146"/>
        <w:gridCol w:w="391"/>
        <w:gridCol w:w="166"/>
        <w:gridCol w:w="499"/>
      </w:tblGrid>
      <w:tr>
        <w:trPr/>
        <w:tc>
          <w:tcPr>
            <w:tcW w:w="2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Income Before Income Taxes and </w:t>
              <w:br/>
              <w:t xml:space="preserve">  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Weighted-average shares outstanding </w:t>
              <w:b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Weighted-average shares outstanding </w:t>
              <w:b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Percentages may not recompute due to rounding. NM refers to not meaningful.</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kfc_global_operating_results"/>
      <w:bookmarkEnd w:id="7"/>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KFC Operating Results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0"/>
        <w:gridCol w:w="576"/>
        <w:gridCol w:w="256"/>
        <w:gridCol w:w="146"/>
        <w:gridCol w:w="220"/>
        <w:gridCol w:w="576"/>
        <w:gridCol w:w="256"/>
        <w:gridCol w:w="146"/>
        <w:gridCol w:w="146"/>
        <w:gridCol w:w="391"/>
        <w:gridCol w:w="166"/>
        <w:gridCol w:w="451"/>
        <w:gridCol w:w="146"/>
        <w:gridCol w:w="220"/>
        <w:gridCol w:w="576"/>
        <w:gridCol w:w="256"/>
        <w:gridCol w:w="146"/>
        <w:gridCol w:w="220"/>
        <w:gridCol w:w="576"/>
        <w:gridCol w:w="256"/>
        <w:gridCol w:w="146"/>
        <w:gridCol w:w="146"/>
        <w:gridCol w:w="391"/>
        <w:gridCol w:w="166"/>
        <w:gridCol w:w="499"/>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Percentages may not recompute due to rounding.</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pizza_hut_global_operating_results"/>
      <w:bookmarkEnd w:id="8"/>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Pizza Hut Operating Results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0"/>
        <w:gridCol w:w="576"/>
        <w:gridCol w:w="256"/>
        <w:gridCol w:w="146"/>
        <w:gridCol w:w="220"/>
        <w:gridCol w:w="576"/>
        <w:gridCol w:w="256"/>
        <w:gridCol w:w="146"/>
        <w:gridCol w:w="146"/>
        <w:gridCol w:w="436"/>
        <w:gridCol w:w="166"/>
        <w:gridCol w:w="451"/>
        <w:gridCol w:w="146"/>
        <w:gridCol w:w="220"/>
        <w:gridCol w:w="576"/>
        <w:gridCol w:w="256"/>
        <w:gridCol w:w="146"/>
        <w:gridCol w:w="220"/>
        <w:gridCol w:w="576"/>
        <w:gridCol w:w="256"/>
        <w:gridCol w:w="146"/>
        <w:gridCol w:w="146"/>
        <w:gridCol w:w="346"/>
        <w:gridCol w:w="166"/>
        <w:gridCol w:w="499"/>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7"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9/30/2024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Percentages may not recompute due to rounding.</w:t>
      </w:r>
    </w:p>
    <w:p>
      <w:pPr>
        <w:pStyle w:val="TextBody"/>
        <w:bidi w:val="0"/>
        <w:spacing w:before="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condensed_consolidated_balance_sheets"/>
      <w:bookmarkEnd w:id="9"/>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00"/>
        <w:gridCol w:w="146"/>
        <w:gridCol w:w="258"/>
        <w:gridCol w:w="830"/>
        <w:gridCol w:w="166"/>
        <w:gridCol w:w="146"/>
        <w:gridCol w:w="248"/>
        <w:gridCol w:w="797"/>
        <w:gridCol w:w="414"/>
      </w:tblGrid>
      <w:tr>
        <w:trPr/>
        <w:tc>
          <w:tcPr>
            <w:tcW w:w="7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11,121</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NONCONTROLLING INTEREST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$0.01 par value; 1,000 million shares authorized; 364 million shares </w:t>
              <w:br/>
              <w:t xml:space="preserve">      and 379 million shares issued at September 30, 2025 and December 31, 2024, respectively; </w:t>
              <w:br/>
              <w:t xml:space="preserve">      364 million shares and 378 million shares outstanding at September 30, 2025 and </w:t>
              <w:br/>
              <w:t>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Yum China Holdings,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Redeemable Noncontrolling Interest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11,121</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condensed_consolidated_statements_of_cas"/>
      <w:bookmarkEnd w:id="10"/>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021" w:type="dxa"/>
        <w:jc w:val="left"/>
        <w:tblInd w:w="0" w:type="dxa"/>
        <w:tblLayout w:type="fixed"/>
        <w:tblCellMar>
          <w:top w:w="28" w:type="dxa"/>
          <w:left w:w="28" w:type="dxa"/>
          <w:bottom w:w="28" w:type="dxa"/>
          <w:right w:w="28" w:type="dxa"/>
        </w:tblCellMar>
      </w:tblPr>
      <w:tblGrid>
        <w:gridCol w:w="6376"/>
        <w:gridCol w:w="146"/>
        <w:gridCol w:w="211"/>
        <w:gridCol w:w="631"/>
        <w:gridCol w:w="166"/>
        <w:gridCol w:w="146"/>
        <w:gridCol w:w="146"/>
        <w:gridCol w:w="211"/>
        <w:gridCol w:w="631"/>
        <w:gridCol w:w="166"/>
        <w:gridCol w:w="191"/>
      </w:tblGrid>
      <w:tr>
        <w:trPr/>
        <w:tc>
          <w:tcPr>
            <w:tcW w:w="6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9/30/2024</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Non-cash 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Closures and impairment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 in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Distributions of income received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prepaid expenses, other current assets and value-added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Capital spending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Purchases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Maturities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Acquisition of equity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Proceeds from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Repayment of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Repurchase of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Dividends paid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Acquisition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Effect of Exchange Rates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Cash Equivalents, and Restricted Cash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this press release: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performance metrics and non-GAAP measures are presented excluding the impact of foreign currency translation (“F/X”). These amounts are derived by translating current year results at prior year average exchange rates. We believe the elimination of the F/X impact provides better year-to-year comparability without the distortion of foreign currency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System sales growth reflects the results of all restaurants regardless of ownership, including Company-owned and franchise restaurants that operate our restaurant concepts, except for non-Company-owned restaurants for which we do not receive a sales-based royalty. Sales of franchise restaurants typically generate ongoing franchise fees for the Company at an average rate of approximately 6% of system sales. Franchise restaurant sales are not included in Company sales in the Condensed Consolidated Statements of Income; however, the franchise fees are included in the Company’s revenues. We believe system sales growth is useful to investors as a significant indicator of the overall strength of our business as it incorporates all of our revenue drivers, Company and franchise same-store sales as well as net unit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January 1, 2018, the Company revised its definition of same-store sales growth to represent the estimated percentage change in sales of food of all restaurants in the Company system that have been open prior to the first day of our prior fiscal year, excluding the period during which stores are temporarily closed. We refer to these as our "base" stores. Previously, same-store sales growth represented the estimated percentage change in sales of all restaurants in the Company system that have been open for one year or more, including stores temporarily closed, and the base stores changed on a rolling basis from month to month. This revision was made to align with how management measures performance internally and focuses on trends of a more stable base of stores.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 Count by Brand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KFC</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1516"/>
        <w:gridCol w:w="146"/>
        <w:gridCol w:w="189"/>
        <w:gridCol w:w="876"/>
        <w:gridCol w:w="146"/>
        <w:gridCol w:w="146"/>
        <w:gridCol w:w="214"/>
        <w:gridCol w:w="836"/>
        <w:gridCol w:w="146"/>
        <w:gridCol w:w="146"/>
        <w:gridCol w:w="195"/>
        <w:gridCol w:w="646"/>
        <w:gridCol w:w="166"/>
        <w:gridCol w:w="146"/>
        <w:gridCol w:w="360"/>
        <w:gridCol w:w="856"/>
        <w:gridCol w:w="166"/>
        <w:gridCol w:w="146"/>
        <w:gridCol w:w="170"/>
        <w:gridCol w:w="790"/>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w:t>
            </w:r>
            <w:r>
              <w:rPr>
                <w:rFonts w:ascii="Times New Roman" w:hAnsi="Times New Roman"/>
                <w:color w:val="000000"/>
                <w:sz w:val="20"/>
              </w:rPr>
              <w:t xml:space="preserve"> </w:t>
            </w:r>
            <w:r>
              <w:rPr>
                <w:rFonts w:ascii="Times New Roman" w:hAnsi="Times New Roman"/>
                <w:b/>
                <w:color w:val="000000"/>
                <w:sz w:val="20"/>
              </w:rPr>
              <w:t>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Refranchised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Pizza Hut</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1516"/>
        <w:gridCol w:w="146"/>
        <w:gridCol w:w="217"/>
        <w:gridCol w:w="848"/>
        <w:gridCol w:w="146"/>
        <w:gridCol w:w="146"/>
        <w:gridCol w:w="270"/>
        <w:gridCol w:w="780"/>
        <w:gridCol w:w="146"/>
        <w:gridCol w:w="146"/>
        <w:gridCol w:w="195"/>
        <w:gridCol w:w="646"/>
        <w:gridCol w:w="166"/>
        <w:gridCol w:w="146"/>
        <w:gridCol w:w="360"/>
        <w:gridCol w:w="856"/>
        <w:gridCol w:w="166"/>
        <w:gridCol w:w="146"/>
        <w:gridCol w:w="195"/>
        <w:gridCol w:w="765"/>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w:t>
            </w:r>
            <w:r>
              <w:rPr>
                <w:rFonts w:ascii="Times New Roman" w:hAnsi="Times New Roman"/>
                <w:color w:val="000000"/>
                <w:sz w:val="20"/>
              </w:rPr>
              <w:t xml:space="preserve"> </w:t>
            </w:r>
            <w:r>
              <w:rPr>
                <w:rFonts w:ascii="Times New Roman" w:hAnsi="Times New Roman"/>
                <w:b/>
                <w:color w:val="000000"/>
                <w:sz w:val="20"/>
              </w:rPr>
              <w:t>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Refranchised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Others</w:t>
      </w:r>
    </w:p>
    <w:p>
      <w:pPr>
        <w:pStyle w:val="TextBody"/>
        <w:bidi w:val="0"/>
        <w:jc w:val="left"/>
        <w:rPr/>
      </w:pPr>
      <w:r>
        <w:rPr/>
        <w:t> </w:t>
      </w:r>
    </w:p>
    <w:tbl>
      <w:tblPr>
        <w:tblW w:w="6665" w:type="dxa"/>
        <w:jc w:val="left"/>
        <w:tblInd w:w="0" w:type="dxa"/>
        <w:tblLayout w:type="fixed"/>
        <w:tblCellMar>
          <w:top w:w="28" w:type="dxa"/>
          <w:left w:w="28" w:type="dxa"/>
          <w:bottom w:w="28" w:type="dxa"/>
          <w:right w:w="28" w:type="dxa"/>
        </w:tblCellMar>
      </w:tblPr>
      <w:tblGrid>
        <w:gridCol w:w="1516"/>
        <w:gridCol w:w="146"/>
        <w:gridCol w:w="217"/>
        <w:gridCol w:w="848"/>
        <w:gridCol w:w="146"/>
        <w:gridCol w:w="146"/>
        <w:gridCol w:w="331"/>
        <w:gridCol w:w="719"/>
        <w:gridCol w:w="146"/>
        <w:gridCol w:w="146"/>
        <w:gridCol w:w="195"/>
        <w:gridCol w:w="646"/>
        <w:gridCol w:w="166"/>
        <w:gridCol w:w="146"/>
        <w:gridCol w:w="247"/>
        <w:gridCol w:w="713"/>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w:t>
            </w:r>
            <w:r>
              <w:rPr>
                <w:rFonts w:ascii="Times New Roman" w:hAnsi="Times New Roman"/>
                <w:color w:val="000000"/>
                <w:sz w:val="20"/>
              </w:rPr>
              <w:t xml:space="preserve"> </w:t>
            </w:r>
            <w:r>
              <w:rPr>
                <w:rFonts w:ascii="Times New Roman" w:hAnsi="Times New Roman"/>
                <w:b/>
                <w:color w:val="000000"/>
                <w:sz w:val="20"/>
              </w:rPr>
              <w:t>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Reported GAAP Results to Non-GAAP Measures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to the results provided in accordance with U.S. Generally Accepted Accounting Principles (“GAAP”) in this press release, the Company provides the following non-GAAP measures: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Measures adjusted for Special Items, which include Adjusted Operating Profit, Adjusted Net Income, Adjusted Earnings Per Common Share ("EPS"), Adjusted Effective Tax Rate and Adjusted EBITDA;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Company Restaurant Profit ("Restaurant profit") and Restaurant margin;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Core Operating Profit and Core OP margin, which exclude Special Items, and further adjusted for Items Affecting Comparability and the impact of F/X;</w:t>
      </w:r>
    </w:p>
    <w:p>
      <w:pPr>
        <w:pStyle w:val="TextBody"/>
        <w:bidi w:val="0"/>
        <w:spacing w:before="0" w:after="20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These non-GAAP measures are not intended to replace the presentation of our financial results in accordance with GAAP. Rather, the Company believes that the presentation of these non-GAAP measures provides additional information to investors to facilitate the comparison of past and present results, excluding those items that the Company does not believe are indicative of our core operations.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With respect to non-GAAP measures adjusted for Special Items, the Company excludes impact from Special Items for the purpose of evaluating performance internally and uses them as factors in determining compensation for certain employees. Special Items are not included in any of our segment results.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Adjusted EBITDA is defined as net income including noncontrolling interests adjusted for equity in net earnings (losses) from equity method investments, income tax, interest income, net, investment gain or loss, depreciation and amortization, store impairment charges, and Special Items. Store impairment charges included as an adjustment item in Adjusted EBITDA primarily resulted from our semi-annual impairment evaluation of long-lived assets of individual restaurants, and additional impairment evaluation whenever events or changes in circumstances indicate that the carrying value of the assets may not be recoverable. If these restaurant-level assets were not impaired, depreciation of the assets would have been recorded and included in EBITDA. Therefore, store impairment charges were a non-cash item similar to depreciation and amortization of our long-lived assets of restaurants. The Company believes that investors and analysts may find it useful in measuring operating performance without regard to such non-cash items.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Restaurant Profit is defined as Company sales less expenses incurred directly by our Company-owned restaurants in generating Company sales, including cost of food and paper, restaurant-level payroll and employee benefits, rent, depreciation and amortization of restaurant-level assets, advertising expenses, and other operating expenses. Company restaurant margin percentage is defined as Restaurant profit divided by Company sales. We also use Restaurant profit and Restaurant margin for the purposes of internally evaluating the performance of our Company-owned restaurants and we believe they provide useful information to investors as to the profitability of our Company-owned restaurants.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Core Operating Profit is defined as Operating Profit adjusted for Special Items, and further excluding Items Affecting Comparability and the impact of F/X. We consider quantitative and qualitative factors in assessing whether to adjust for the impact of items that may be significant or that could affect an understanding of our ongoing financial and business performance or trends. Items such as charges, gains and accounting changes which are viewed by management as significantly impacting the current period or the comparable period, due to changes in policy or other external factors, or non-cash items pertaining to underlying activities that are different from or unrelated to our core operations, are generally considered “Items Affecting Comparability.” Examples of Items Affecting Comparability include, but are not limited to: temporary relief from landlords and government agencies; VAT deductions due to tax policy changes; and amortization of reacquired franchise rights recognized upon acquisitions. We believe presenting Core Operating Profit provides additional information to further enhance comparability of our operating results and we use this measure for purposes of evaluating the performance of our core operations. Core OP margin is defined as Core Operating Profit divided by Total revenues, excluding the impact of F/X.</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tables set forth the reconciliation of the most directly comparable GAAP financial measures to the non-GAAP financial measures. The reconciliation of GAAP Operating Profit to Restaurant Profit and Core Operating Profit by segment is presented in Segment Results within this release.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7"/>
        <w:gridCol w:w="146"/>
        <w:gridCol w:w="280"/>
        <w:gridCol w:w="619"/>
        <w:gridCol w:w="271"/>
        <w:gridCol w:w="146"/>
        <w:gridCol w:w="280"/>
        <w:gridCol w:w="619"/>
        <w:gridCol w:w="271"/>
        <w:gridCol w:w="146"/>
        <w:gridCol w:w="248"/>
        <w:gridCol w:w="673"/>
        <w:gridCol w:w="271"/>
        <w:gridCol w:w="146"/>
        <w:gridCol w:w="248"/>
        <w:gridCol w:w="673"/>
        <w:gridCol w:w="321"/>
      </w:tblGrid>
      <w:tr>
        <w:trPr/>
        <w:tc>
          <w:tcPr>
            <w:tcW w:w="4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9/30/2024</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Operating Profit to 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Net Income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EPS to Adjusted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Effective Tax Rate to 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on effective tax rate as a result of 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income, along with the reconciliation to Adjusted EBITDA, is presented below:</w:t>
      </w:r>
    </w:p>
    <w:tbl>
      <w:tblPr>
        <w:tblW w:w="10205" w:type="dxa"/>
        <w:jc w:val="left"/>
        <w:tblInd w:w="0" w:type="dxa"/>
        <w:tblLayout w:type="fixed"/>
        <w:tblCellMar>
          <w:top w:w="28" w:type="dxa"/>
          <w:left w:w="28" w:type="dxa"/>
          <w:bottom w:w="28" w:type="dxa"/>
          <w:right w:w="28" w:type="dxa"/>
        </w:tblCellMar>
      </w:tblPr>
      <w:tblGrid>
        <w:gridCol w:w="5106"/>
        <w:gridCol w:w="146"/>
        <w:gridCol w:w="316"/>
        <w:gridCol w:w="632"/>
        <w:gridCol w:w="166"/>
        <w:gridCol w:w="146"/>
        <w:gridCol w:w="316"/>
        <w:gridCol w:w="632"/>
        <w:gridCol w:w="166"/>
        <w:gridCol w:w="146"/>
        <w:gridCol w:w="257"/>
        <w:gridCol w:w="696"/>
        <w:gridCol w:w="166"/>
        <w:gridCol w:w="146"/>
        <w:gridCol w:w="257"/>
        <w:gridCol w:w="696"/>
        <w:gridCol w:w="215"/>
      </w:tblGrid>
      <w:tr>
        <w:trPr/>
        <w:tc>
          <w:tcPr>
            <w:tcW w:w="5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Profit, along with the reconciliation to Core Operating Profit, is presented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8"/>
        <w:gridCol w:w="236"/>
        <w:gridCol w:w="638"/>
        <w:gridCol w:w="271"/>
        <w:gridCol w:w="146"/>
        <w:gridCol w:w="236"/>
        <w:gridCol w:w="638"/>
        <w:gridCol w:w="271"/>
        <w:gridCol w:w="146"/>
        <w:gridCol w:w="146"/>
        <w:gridCol w:w="361"/>
        <w:gridCol w:w="146"/>
        <w:gridCol w:w="496"/>
        <w:gridCol w:w="146"/>
        <w:gridCol w:w="236"/>
        <w:gridCol w:w="638"/>
        <w:gridCol w:w="271"/>
        <w:gridCol w:w="146"/>
        <w:gridCol w:w="236"/>
        <w:gridCol w:w="638"/>
        <w:gridCol w:w="271"/>
        <w:gridCol w:w="146"/>
        <w:gridCol w:w="146"/>
        <w:gridCol w:w="361"/>
        <w:gridCol w:w="146"/>
        <w:gridCol w:w="545"/>
      </w:tblGrid>
      <w:tr>
        <w:trPr/>
        <w:tc>
          <w:tcPr>
            <w:tcW w:w="254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Affecting Comparability</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F/X impact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F/X impact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excluding the impact of F/X</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 margin</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segment_results"/>
      <w:bookmarkEnd w:id="11"/>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Segment Results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95"/>
        <w:gridCol w:w="146"/>
        <w:gridCol w:w="196"/>
        <w:gridCol w:w="511"/>
        <w:gridCol w:w="146"/>
        <w:gridCol w:w="146"/>
        <w:gridCol w:w="258"/>
        <w:gridCol w:w="495"/>
        <w:gridCol w:w="146"/>
        <w:gridCol w:w="146"/>
        <w:gridCol w:w="465"/>
        <w:gridCol w:w="895"/>
        <w:gridCol w:w="146"/>
        <w:gridCol w:w="146"/>
        <w:gridCol w:w="388"/>
        <w:gridCol w:w="748"/>
        <w:gridCol w:w="166"/>
        <w:gridCol w:w="146"/>
        <w:gridCol w:w="311"/>
        <w:gridCol w:w="695"/>
        <w:gridCol w:w="166"/>
        <w:gridCol w:w="146"/>
        <w:gridCol w:w="196"/>
        <w:gridCol w:w="511"/>
        <w:gridCol w:w="195"/>
      </w:tblGrid>
      <w:tr>
        <w:trPr/>
        <w:tc>
          <w:tcPr>
            <w:tcW w:w="2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9/30/2025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96"/>
        <w:gridCol w:w="146"/>
        <w:gridCol w:w="196"/>
        <w:gridCol w:w="511"/>
        <w:gridCol w:w="256"/>
        <w:gridCol w:w="146"/>
        <w:gridCol w:w="232"/>
        <w:gridCol w:w="498"/>
        <w:gridCol w:w="256"/>
        <w:gridCol w:w="146"/>
        <w:gridCol w:w="409"/>
        <w:gridCol w:w="821"/>
        <w:gridCol w:w="286"/>
        <w:gridCol w:w="146"/>
        <w:gridCol w:w="403"/>
        <w:gridCol w:w="715"/>
        <w:gridCol w:w="166"/>
        <w:gridCol w:w="146"/>
        <w:gridCol w:w="311"/>
        <w:gridCol w:w="695"/>
        <w:gridCol w:w="166"/>
        <w:gridCol w:w="146"/>
        <w:gridCol w:w="196"/>
        <w:gridCol w:w="511"/>
        <w:gridCol w:w="305"/>
      </w:tblGrid>
      <w:tr>
        <w:trPr/>
        <w:tc>
          <w:tcPr>
            <w:tcW w:w="2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9/30/2025</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098" w:type="dxa"/>
        <w:jc w:val="left"/>
        <w:tblInd w:w="0" w:type="dxa"/>
        <w:tblLayout w:type="fixed"/>
        <w:tblCellMar>
          <w:top w:w="28" w:type="dxa"/>
          <w:left w:w="28" w:type="dxa"/>
          <w:bottom w:w="28" w:type="dxa"/>
          <w:right w:w="28" w:type="dxa"/>
        </w:tblCellMar>
      </w:tblPr>
      <w:tblGrid>
        <w:gridCol w:w="2476"/>
        <w:gridCol w:w="146"/>
        <w:gridCol w:w="196"/>
        <w:gridCol w:w="376"/>
        <w:gridCol w:w="166"/>
        <w:gridCol w:w="146"/>
        <w:gridCol w:w="304"/>
        <w:gridCol w:w="536"/>
        <w:gridCol w:w="146"/>
        <w:gridCol w:w="146"/>
        <w:gridCol w:w="580"/>
        <w:gridCol w:w="1025"/>
        <w:gridCol w:w="146"/>
        <w:gridCol w:w="146"/>
        <w:gridCol w:w="422"/>
        <w:gridCol w:w="748"/>
        <w:gridCol w:w="166"/>
        <w:gridCol w:w="146"/>
        <w:gridCol w:w="363"/>
        <w:gridCol w:w="643"/>
        <w:gridCol w:w="146"/>
        <w:gridCol w:w="146"/>
        <w:gridCol w:w="196"/>
        <w:gridCol w:w="376"/>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9/30/2025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1"/>
        <w:gridCol w:w="146"/>
        <w:gridCol w:w="196"/>
        <w:gridCol w:w="511"/>
        <w:gridCol w:w="146"/>
        <w:gridCol w:w="146"/>
        <w:gridCol w:w="258"/>
        <w:gridCol w:w="494"/>
        <w:gridCol w:w="146"/>
        <w:gridCol w:w="146"/>
        <w:gridCol w:w="464"/>
        <w:gridCol w:w="892"/>
        <w:gridCol w:w="166"/>
        <w:gridCol w:w="146"/>
        <w:gridCol w:w="388"/>
        <w:gridCol w:w="747"/>
        <w:gridCol w:w="166"/>
        <w:gridCol w:w="146"/>
        <w:gridCol w:w="311"/>
        <w:gridCol w:w="695"/>
        <w:gridCol w:w="166"/>
        <w:gridCol w:w="146"/>
        <w:gridCol w:w="196"/>
        <w:gridCol w:w="511"/>
        <w:gridCol w:w="195"/>
      </w:tblGrid>
      <w:tr>
        <w:trPr/>
        <w:tc>
          <w:tcPr>
            <w:tcW w:w="2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9/30/2024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6"/>
        <w:gridCol w:w="146"/>
        <w:gridCol w:w="196"/>
        <w:gridCol w:w="511"/>
        <w:gridCol w:w="256"/>
        <w:gridCol w:w="146"/>
        <w:gridCol w:w="232"/>
        <w:gridCol w:w="498"/>
        <w:gridCol w:w="256"/>
        <w:gridCol w:w="146"/>
        <w:gridCol w:w="355"/>
        <w:gridCol w:w="874"/>
        <w:gridCol w:w="286"/>
        <w:gridCol w:w="146"/>
        <w:gridCol w:w="403"/>
        <w:gridCol w:w="715"/>
        <w:gridCol w:w="166"/>
        <w:gridCol w:w="146"/>
        <w:gridCol w:w="311"/>
        <w:gridCol w:w="695"/>
        <w:gridCol w:w="166"/>
        <w:gridCol w:w="146"/>
        <w:gridCol w:w="196"/>
        <w:gridCol w:w="511"/>
        <w:gridCol w:w="306"/>
      </w:tblGrid>
      <w:tr>
        <w:trPr/>
        <w:tc>
          <w:tcPr>
            <w:tcW w:w="2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9/30/2024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3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078" w:type="dxa"/>
        <w:jc w:val="left"/>
        <w:tblInd w:w="0" w:type="dxa"/>
        <w:tblLayout w:type="fixed"/>
        <w:tblCellMar>
          <w:top w:w="28" w:type="dxa"/>
          <w:left w:w="28" w:type="dxa"/>
          <w:bottom w:w="28" w:type="dxa"/>
          <w:right w:w="28" w:type="dxa"/>
        </w:tblCellMar>
      </w:tblPr>
      <w:tblGrid>
        <w:gridCol w:w="2476"/>
        <w:gridCol w:w="146"/>
        <w:gridCol w:w="196"/>
        <w:gridCol w:w="376"/>
        <w:gridCol w:w="146"/>
        <w:gridCol w:w="146"/>
        <w:gridCol w:w="304"/>
        <w:gridCol w:w="536"/>
        <w:gridCol w:w="146"/>
        <w:gridCol w:w="146"/>
        <w:gridCol w:w="580"/>
        <w:gridCol w:w="1025"/>
        <w:gridCol w:w="166"/>
        <w:gridCol w:w="146"/>
        <w:gridCol w:w="422"/>
        <w:gridCol w:w="748"/>
        <w:gridCol w:w="166"/>
        <w:gridCol w:w="146"/>
        <w:gridCol w:w="363"/>
        <w:gridCol w:w="643"/>
        <w:gridCol w:w="146"/>
        <w:gridCol w:w="146"/>
        <w:gridCol w:w="196"/>
        <w:gridCol w:w="3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9/30/2024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6"/>
        <w:gridCol w:w="146"/>
        <w:gridCol w:w="196"/>
        <w:gridCol w:w="511"/>
        <w:gridCol w:w="146"/>
        <w:gridCol w:w="146"/>
        <w:gridCol w:w="220"/>
        <w:gridCol w:w="574"/>
        <w:gridCol w:w="146"/>
        <w:gridCol w:w="146"/>
        <w:gridCol w:w="459"/>
        <w:gridCol w:w="883"/>
        <w:gridCol w:w="166"/>
        <w:gridCol w:w="146"/>
        <w:gridCol w:w="351"/>
        <w:gridCol w:w="783"/>
        <w:gridCol w:w="166"/>
        <w:gridCol w:w="146"/>
        <w:gridCol w:w="311"/>
        <w:gridCol w:w="695"/>
        <w:gridCol w:w="166"/>
        <w:gridCol w:w="146"/>
        <w:gridCol w:w="196"/>
        <w:gridCol w:w="511"/>
        <w:gridCol w:w="213"/>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9/30/2025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6"/>
        <w:gridCol w:w="146"/>
        <w:gridCol w:w="196"/>
        <w:gridCol w:w="511"/>
        <w:gridCol w:w="256"/>
        <w:gridCol w:w="146"/>
        <w:gridCol w:w="214"/>
        <w:gridCol w:w="558"/>
        <w:gridCol w:w="256"/>
        <w:gridCol w:w="146"/>
        <w:gridCol w:w="352"/>
        <w:gridCol w:w="867"/>
        <w:gridCol w:w="285"/>
        <w:gridCol w:w="146"/>
        <w:gridCol w:w="345"/>
        <w:gridCol w:w="771"/>
        <w:gridCol w:w="166"/>
        <w:gridCol w:w="146"/>
        <w:gridCol w:w="311"/>
        <w:gridCol w:w="695"/>
        <w:gridCol w:w="166"/>
        <w:gridCol w:w="146"/>
        <w:gridCol w:w="196"/>
        <w:gridCol w:w="511"/>
        <w:gridCol w:w="307"/>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9/30/2025</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8,412</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8"/>
        <w:gridCol w:w="146"/>
        <w:gridCol w:w="196"/>
        <w:gridCol w:w="511"/>
        <w:gridCol w:w="146"/>
        <w:gridCol w:w="146"/>
        <w:gridCol w:w="282"/>
        <w:gridCol w:w="541"/>
        <w:gridCol w:w="146"/>
        <w:gridCol w:w="146"/>
        <w:gridCol w:w="564"/>
        <w:gridCol w:w="996"/>
        <w:gridCol w:w="166"/>
        <w:gridCol w:w="146"/>
        <w:gridCol w:w="360"/>
        <w:gridCol w:w="803"/>
        <w:gridCol w:w="166"/>
        <w:gridCol w:w="146"/>
        <w:gridCol w:w="363"/>
        <w:gridCol w:w="643"/>
        <w:gridCol w:w="146"/>
        <w:gridCol w:w="146"/>
        <w:gridCol w:w="196"/>
        <w:gridCol w:w="511"/>
        <w:gridCol w:w="195"/>
      </w:tblGrid>
      <w:tr>
        <w:trPr/>
        <w:tc>
          <w:tcPr>
            <w:tcW w:w="2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9/30/2025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6"/>
        <w:gridCol w:w="146"/>
        <w:gridCol w:w="196"/>
        <w:gridCol w:w="511"/>
        <w:gridCol w:w="146"/>
        <w:gridCol w:w="146"/>
        <w:gridCol w:w="220"/>
        <w:gridCol w:w="574"/>
        <w:gridCol w:w="146"/>
        <w:gridCol w:w="146"/>
        <w:gridCol w:w="459"/>
        <w:gridCol w:w="883"/>
        <w:gridCol w:w="166"/>
        <w:gridCol w:w="146"/>
        <w:gridCol w:w="351"/>
        <w:gridCol w:w="783"/>
        <w:gridCol w:w="166"/>
        <w:gridCol w:w="146"/>
        <w:gridCol w:w="311"/>
        <w:gridCol w:w="695"/>
        <w:gridCol w:w="166"/>
        <w:gridCol w:w="146"/>
        <w:gridCol w:w="196"/>
        <w:gridCol w:w="511"/>
        <w:gridCol w:w="213"/>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9/30/2024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6"/>
        <w:gridCol w:w="146"/>
        <w:gridCol w:w="196"/>
        <w:gridCol w:w="511"/>
        <w:gridCol w:w="256"/>
        <w:gridCol w:w="146"/>
        <w:gridCol w:w="214"/>
        <w:gridCol w:w="558"/>
        <w:gridCol w:w="256"/>
        <w:gridCol w:w="146"/>
        <w:gridCol w:w="352"/>
        <w:gridCol w:w="867"/>
        <w:gridCol w:w="285"/>
        <w:gridCol w:w="146"/>
        <w:gridCol w:w="345"/>
        <w:gridCol w:w="771"/>
        <w:gridCol w:w="166"/>
        <w:gridCol w:w="146"/>
        <w:gridCol w:w="311"/>
        <w:gridCol w:w="695"/>
        <w:gridCol w:w="166"/>
        <w:gridCol w:w="146"/>
        <w:gridCol w:w="196"/>
        <w:gridCol w:w="511"/>
        <w:gridCol w:w="307"/>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9/30/2024</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8,217</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8"/>
        <w:gridCol w:w="146"/>
        <w:gridCol w:w="196"/>
        <w:gridCol w:w="511"/>
        <w:gridCol w:w="146"/>
        <w:gridCol w:w="146"/>
        <w:gridCol w:w="282"/>
        <w:gridCol w:w="541"/>
        <w:gridCol w:w="146"/>
        <w:gridCol w:w="146"/>
        <w:gridCol w:w="564"/>
        <w:gridCol w:w="996"/>
        <w:gridCol w:w="166"/>
        <w:gridCol w:w="146"/>
        <w:gridCol w:w="360"/>
        <w:gridCol w:w="803"/>
        <w:gridCol w:w="166"/>
        <w:gridCol w:w="146"/>
        <w:gridCol w:w="363"/>
        <w:gridCol w:w="643"/>
        <w:gridCol w:w="146"/>
        <w:gridCol w:w="146"/>
        <w:gridCol w:w="196"/>
        <w:gridCol w:w="511"/>
        <w:gridCol w:w="195"/>
      </w:tblGrid>
      <w:tr>
        <w:trPr/>
        <w:tc>
          <w:tcPr>
            <w:tcW w:w="2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9/30/2024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above tables reconcile segment information, which is based on management responsibility, with our Condensed Consolidated Statements of Income.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Amounts have not been allocated to any segment for purpose of making operating decision or assessing financial performance as the transactions are deemed corporate revenues and expenses in nature.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Primarily includes revenues and associated expenses of transactions with franchisees derived from the Company’s central procurement model whereby the Company centrally purchases substantially all food and paper products from suppliers and then sells and delivers to KFC and Pizza Hut restaurants, including franchisees.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8354</Words>
  <Characters>41734</Characters>
  <CharactersWithSpaces>53466</CharactersWithSpaces>
  <Paragraphs>9501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