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 Fred</w:t>
              </w:r>
            </w:hyperlink>
          </w:p>
        </w:tc>
        <w:tc>
          <w:tcPr>
            <w:tcW w:w="1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Yum China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YUMC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15 QUEEN'S ROAD CENTRAL</w:t>
            </w:r>
          </w:p>
        </w:tc>
        <w:tc>
          <w:tcPr>
            <w:tcW w:w="126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41ST FLOOR</w:t>
            </w: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HONG KONG</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K3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32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32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8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5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6"/>
                <w:szCs w:val="6"/>
                <w:color w:val="auto"/>
              </w:rPr>
            </w:pP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9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06/01/2026</w:t>
            </w: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13,050</w:t>
            </w:r>
          </w:p>
        </w:tc>
        <w:tc>
          <w:tcPr>
            <w:tcW w:w="4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95,455</w:t>
            </w:r>
          </w:p>
        </w:tc>
        <w:tc>
          <w:tcPr>
            <w:tcW w:w="320" w:type="dxa"/>
            <w:vAlign w:val="bottom"/>
          </w:tcPr>
          <w:p>
            <w:pPr>
              <w:spacing w:after="0"/>
              <w:rPr>
                <w:sz w:val="23"/>
                <w:szCs w:val="23"/>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12,035,635</w:t>
            </w:r>
          </w:p>
        </w:tc>
        <w:tc>
          <w:tcPr>
            <w:tcW w:w="5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1"/>
                <w:szCs w:val="21"/>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4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80" w:firstLine="7"/>
        <w:spacing w:after="0" w:line="24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is held directly by Pollos Investment L.P. ("Pollos Investment"). The limited partnership interests of Pollos Investment are ultimately owned by a private fund ("Fund") for which an affiliate of the Reporting Person is special limited partner ("Special Limited Partner") and has a contingent right to receive a performance fee. The Reporting Person is a shareholder of the parent company of the general partner of the Special Limited Partner (the "Parent Company") and may be deemed to have pecuniary interest through his indirect entitlement to receive a share of any Fund performance fee.</w:t>
      </w:r>
    </w:p>
    <w:p>
      <w:pPr>
        <w:spacing w:after="0" w:line="176"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securities and derivative instruments held directly by Pollos Investment, including in the shares sold in the Transaction, except to the extent of his pecuniary interest, if any, in such securities or instruments as a result of his interest in the Parent Company, and inclusion in this form shall not otherwise be deemed an admission of beneficial ownership for purposes of Section 16 of the Securities Exchange Act of 1934 or for any other purpose.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Matthew J. Carter,</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6100" TargetMode="External"/><Relationship Id="rId14"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2026-06-03T11:41:24Z</dcterms:created>
  <dcterms:modified xsi:type="dcterms:W3CDTF">2026-06-03T11:41:24Z</dcterms:modified>
</cp:coreProperties>
</file>