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Chan Ed Yiu-Cheong</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11/01/2016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Yum China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YUMC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4-F CATALINA MANSIONS</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98 MACOONNELL ROAD</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20"/>
        <w:spacing w:after="0"/>
        <w:rPr>
          <w:sz w:val="20"/>
          <w:szCs w:val="20"/>
          <w:color w:val="auto"/>
        </w:rPr>
      </w:pPr>
      <w:r>
        <w:rPr>
          <w:rFonts w:ascii="Arial" w:cs="Arial" w:eastAsia="Arial" w:hAnsi="Arial"/>
          <w:sz w:val="18"/>
          <w:szCs w:val="18"/>
          <w:color w:val="0000FF"/>
        </w:rPr>
        <w:t>K3</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7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1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w w:val="98"/>
              </w:rPr>
              <w:t>/s/ Pingping Liu, Power of</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11/01/2016</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500" w:type="dxa"/>
            <w:vAlign w:val="bottom"/>
            <w:tcBorders>
              <w:top w:val="single" w:sz="8" w:color="auto"/>
            </w:tcBorders>
            <w:vMerge w:val="restart"/>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undersigned hereby constitutes and appoints each of Shella Ng, Pingping Liu, Ruonan You and M. Gayle Hobson signing singly, the undersigned's true and lawful attorney-in-fact to:</w:t>
      </w:r>
    </w:p>
    <w:p>
      <w:pPr>
        <w:spacing w:after="0" w:line="6" w:lineRule="exact"/>
        <w:rPr>
          <w:sz w:val="20"/>
          <w:szCs w:val="20"/>
          <w:color w:val="auto"/>
        </w:rPr>
      </w:pPr>
    </w:p>
    <w:p>
      <w:pPr>
        <w:ind w:right="2839" w:firstLine="8"/>
        <w:spacing w:after="0" w:line="268"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Yum China Holdings, Inc.</w:t>
      </w:r>
    </w:p>
    <w:p>
      <w:pPr>
        <w:jc w:val="both"/>
        <w:ind w:right="20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?Company?), Form 144 in under Rule 144 of the Securities Act of 1933 and Forms 3, 4, and 5 in accordance with Section 16(a) of the Securities Exchange Act of 1934 and the rules thereunder;</w:t>
      </w:r>
    </w:p>
    <w:p>
      <w:pPr>
        <w:spacing w:after="0" w:line="208"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144, 3, 4, or 5, complete and execute any amendment or amendments thereto, and timely file such form with the United States Securities and Exchange Commission and any stock exchange or similar authority;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w:t>
      </w:r>
    </w:p>
    <w:p>
      <w:pPr>
        <w:spacing w:after="0" w:line="4" w:lineRule="exact"/>
        <w:rPr>
          <w:rFonts w:ascii="Courier New" w:cs="Courier New" w:eastAsia="Courier New" w:hAnsi="Courier New"/>
          <w:sz w:val="18"/>
          <w:szCs w:val="18"/>
          <w:color w:val="auto"/>
        </w:rPr>
      </w:pPr>
    </w:p>
    <w:p>
      <w:pPr>
        <w:ind w:right="2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 w:lineRule="exact"/>
        <w:rPr>
          <w:rFonts w:ascii="Courier New" w:cs="Courier New" w:eastAsia="Courier New" w:hAnsi="Courier New"/>
          <w:sz w:val="18"/>
          <w:szCs w:val="18"/>
          <w:color w:val="auto"/>
        </w:rPr>
      </w:pPr>
    </w:p>
    <w:p>
      <w:pPr>
        <w:ind w:right="20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or Rule 144 of the Securities Act of 1933.</w:t>
      </w:r>
    </w:p>
    <w:p>
      <w:pPr>
        <w:spacing w:after="0" w:line="200" w:lineRule="exact"/>
        <w:rPr>
          <w:sz w:val="20"/>
          <w:szCs w:val="20"/>
          <w:color w:val="auto"/>
        </w:rPr>
      </w:pP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no longer is required to file Forms 144, 3, 4, and 5 and with respect to the undersigned?s holdings of and transactions in securities issued by the Company unless earlier revoked by the undersigned in a signed writing delivered to the foregoing attorneys-in-fact, except, however, that M. Gayle Hobson will no longer be appointed attorney-in-fact under this Power of Attorney as of November 1, 2016.</w:t>
      </w:r>
    </w:p>
    <w:p>
      <w:pPr>
        <w:spacing w:after="0" w:line="21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28th day of September, 2016.</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/s/Ed Yiu-Cheong Chan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86103" TargetMode="External"/><Relationship Id="rId12"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2019-12-09T02:43:51Z</dcterms:created>
  <dcterms:modified xsi:type="dcterms:W3CDTF">2019-12-09T02:43:51Z</dcterms:modified>
</cp:coreProperties>
</file>