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6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160" w:right="4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41" w:lineRule="exact"/>
        <w:rPr>
          <w:sz w:val="24"/>
          <w:szCs w:val="24"/>
          <w:color w:val="auto"/>
        </w:rPr>
      </w:pPr>
    </w:p>
    <w:p>
      <w:pPr>
        <w:ind w:left="1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40" w:type="dxa"/>
            <w:vAlign w:val="bottom"/>
          </w:tcPr>
          <w:p>
            <w:pPr>
              <w:jc w:val="center"/>
              <w:ind w:right="1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-646430</wp:posOffset>
            </wp:positionV>
            <wp:extent cx="59055"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-1531620</wp:posOffset>
            </wp:positionH>
            <wp:positionV relativeFrom="paragraph">
              <wp:posOffset>772160</wp:posOffset>
            </wp:positionV>
            <wp:extent cx="6989445" cy="5102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160" w:space="240"/>
            <w:col w:w="868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spacing w:after="0"/>
              <w:rPr>
                <w:rFonts w:ascii="Times New Roman" w:cs="Times New Roman" w:eastAsia="Times New Roman" w:hAnsi="Times New Roman"/>
                <w:sz w:val="21"/>
                <w:szCs w:val="21"/>
                <w:color w:val="0000EE"/>
              </w:rPr>
            </w:pPr>
            <w:hyperlink r:id="rId11">
              <w:r>
                <w:rPr>
                  <w:rFonts w:ascii="Times New Roman" w:cs="Times New Roman" w:eastAsia="Times New Roman" w:hAnsi="Times New Roman"/>
                  <w:sz w:val="21"/>
                  <w:szCs w:val="21"/>
                  <w:color w:val="0000EE"/>
                </w:rPr>
                <w:t>Hu Fred</w:t>
              </w:r>
            </w:hyperlink>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tcPr>
          <w:p>
            <w:pPr>
              <w:spacing w:after="0" w:line="107" w:lineRule="exact"/>
              <w:rPr>
                <w:rFonts w:ascii="Times New Roman" w:cs="Times New Roman" w:eastAsia="Times New Roman" w:hAnsi="Times New Roman"/>
                <w:sz w:val="12"/>
                <w:szCs w:val="12"/>
                <w:color w:val="0000EE"/>
              </w:rPr>
            </w:pPr>
            <w:hyperlink r:id="rId12">
              <w:r>
                <w:rPr>
                  <w:rFonts w:ascii="Times New Roman" w:cs="Times New Roman" w:eastAsia="Times New Roman" w:hAnsi="Times New Roman"/>
                  <w:sz w:val="12"/>
                  <w:szCs w:val="12"/>
                  <w:color w:val="0000EE"/>
                </w:rPr>
                <w:t xml:space="preserve">Yum China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YUMC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480" w:type="dxa"/>
            <w:vAlign w:val="bottom"/>
          </w:tcPr>
          <w:p>
            <w:pPr>
              <w:spacing w:after="0"/>
              <w:rPr>
                <w:sz w:val="2"/>
                <w:szCs w:val="2"/>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0000EE"/>
            </w:tcBorders>
            <w:gridSpan w:val="2"/>
            <w:vMerge w:val="continue"/>
          </w:tcPr>
          <w:p>
            <w:pPr>
              <w:spacing w:after="0"/>
              <w:rPr>
                <w:sz w:val="5"/>
                <w:szCs w:val="5"/>
                <w:color w:val="auto"/>
              </w:rPr>
            </w:pPr>
          </w:p>
        </w:tc>
        <w:tc>
          <w:tcPr>
            <w:tcW w:w="740" w:type="dxa"/>
            <w:vAlign w:val="bottom"/>
            <w:vMerge w:val="restart"/>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7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2"/>
          </w:tcPr>
          <w:p>
            <w:pPr>
              <w:ind w:left="400"/>
              <w:spacing w:after="0" w:line="138" w:lineRule="exact"/>
              <w:rPr>
                <w:sz w:val="20"/>
                <w:szCs w:val="20"/>
                <w:color w:val="auto"/>
              </w:rPr>
            </w:pPr>
            <w:r>
              <w:rPr>
                <w:rFonts w:ascii="Arial" w:cs="Arial" w:eastAsia="Arial" w:hAnsi="Arial"/>
                <w:sz w:val="13"/>
                <w:szCs w:val="13"/>
                <w:color w:val="auto"/>
              </w:rPr>
              <w:t>Officer (give title</w:t>
            </w:r>
          </w:p>
        </w:tc>
        <w:tc>
          <w:tcPr>
            <w:tcW w:w="480" w:type="dxa"/>
            <w:vAlign w:val="bottom"/>
          </w:tcPr>
          <w:p>
            <w:pPr>
              <w:spacing w:after="0"/>
              <w:rPr>
                <w:sz w:val="15"/>
                <w:szCs w:val="15"/>
                <w:color w:val="auto"/>
              </w:rPr>
            </w:pPr>
          </w:p>
        </w:tc>
        <w:tc>
          <w:tcPr>
            <w:tcW w:w="1260" w:type="dxa"/>
            <w:vAlign w:val="bottom"/>
            <w:gridSpan w:val="4"/>
          </w:tcPr>
          <w:p>
            <w:pPr>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00" w:type="dxa"/>
            <w:vAlign w:val="bottom"/>
            <w:tcBorders>
              <w:top w:val="single" w:sz="8" w:color="EEEEEE"/>
            </w:tcBorders>
          </w:tcPr>
          <w:p>
            <w:pPr>
              <w:spacing w:after="0"/>
              <w:rPr>
                <w:sz w:val="13"/>
                <w:szCs w:val="13"/>
                <w:color w:val="auto"/>
              </w:rPr>
            </w:pPr>
          </w:p>
        </w:tc>
        <w:tc>
          <w:tcPr>
            <w:tcW w:w="1580" w:type="dxa"/>
            <w:vAlign w:val="bottom"/>
            <w:tcBorders>
              <w:top w:val="single" w:sz="8" w:color="EEEEEE"/>
            </w:tcBorders>
            <w:gridSpan w:val="2"/>
            <w:vMerge w:val="restart"/>
          </w:tcPr>
          <w:p>
            <w:pPr>
              <w:ind w:left="5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0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Borders>
              <w:top w:val="single" w:sz="8" w:color="2C2C2C"/>
            </w:tcBorders>
          </w:tcPr>
          <w:p>
            <w:pPr>
              <w:spacing w:after="0"/>
              <w:rPr>
                <w:sz w:val="13"/>
                <w:szCs w:val="13"/>
                <w:color w:val="auto"/>
              </w:rPr>
            </w:pPr>
          </w:p>
        </w:tc>
        <w:tc>
          <w:tcPr>
            <w:tcW w:w="36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48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80" w:type="dxa"/>
            <w:vAlign w:val="bottom"/>
            <w:gridSpan w:val="2"/>
            <w:vMerge w:val="continue"/>
          </w:tcPr>
          <w:p>
            <w:pPr>
              <w:spacing w:after="0"/>
              <w:rPr>
                <w:sz w:val="8"/>
                <w:szCs w:val="8"/>
                <w:color w:val="auto"/>
              </w:rPr>
            </w:pP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08/21/2024</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15 QUEEN'S ROAD CENTRAL</w:t>
            </w:r>
          </w:p>
        </w:tc>
        <w:tc>
          <w:tcPr>
            <w:tcW w:w="13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41ST FLOOR</w:t>
            </w: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38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3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spacing w:after="0" w:line="185" w:lineRule="exact"/>
              <w:rPr>
                <w:sz w:val="20"/>
                <w:szCs w:val="20"/>
                <w:color w:val="auto"/>
              </w:rPr>
            </w:pPr>
            <w:r>
              <w:rPr>
                <w:rFonts w:ascii="Times New Roman" w:cs="Times New Roman" w:eastAsia="Times New Roman" w:hAnsi="Times New Roman"/>
                <w:sz w:val="17"/>
                <w:szCs w:val="17"/>
                <w:color w:val="0000FF"/>
              </w:rPr>
              <w:t>HONG KONG  K3</w:t>
            </w:r>
          </w:p>
        </w:tc>
        <w:tc>
          <w:tcPr>
            <w:tcW w:w="840" w:type="dxa"/>
            <w:vAlign w:val="bottom"/>
          </w:tcPr>
          <w:p>
            <w:pPr>
              <w:spacing w:after="0"/>
              <w:rPr>
                <w:sz w:val="16"/>
                <w:szCs w:val="16"/>
                <w:color w:val="auto"/>
              </w:rPr>
            </w:pPr>
          </w:p>
        </w:tc>
        <w:tc>
          <w:tcPr>
            <w:tcW w:w="134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0000FF"/>
              </w:rPr>
              <w:t>00000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580" w:type="dxa"/>
            <w:vAlign w:val="bottom"/>
            <w:tcBorders>
              <w:bottom w:val="single" w:sz="8" w:color="9A9A9A"/>
            </w:tcBorders>
            <w:gridSpan w:val="2"/>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00" w:type="dxa"/>
            <w:vAlign w:val="bottom"/>
          </w:tcPr>
          <w:p>
            <w:pPr>
              <w:spacing w:after="0"/>
              <w:rPr>
                <w:sz w:val="24"/>
                <w:szCs w:val="24"/>
                <w:color w:val="auto"/>
              </w:rPr>
            </w:pPr>
          </w:p>
        </w:tc>
        <w:tc>
          <w:tcPr>
            <w:tcW w:w="1580" w:type="dxa"/>
            <w:vAlign w:val="bottom"/>
            <w:gridSpan w:val="2"/>
          </w:tcPr>
          <w:p>
            <w:pPr>
              <w:ind w:left="5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4"/>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7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80" w:type="dxa"/>
            <w:vAlign w:val="bottom"/>
            <w:gridSpan w:val="2"/>
          </w:tcPr>
          <w:p>
            <w:pPr>
              <w:jc w:val="cente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180" w:type="dxa"/>
            <w:vAlign w:val="bottom"/>
            <w:gridSpan w:val="2"/>
          </w:tcPr>
          <w:p>
            <w:pPr>
              <w:jc w:val="center"/>
              <w:ind w:left="24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1180" w:type="dxa"/>
            <w:vAlign w:val="bottom"/>
            <w:gridSpan w:val="2"/>
          </w:tcPr>
          <w:p>
            <w:pPr>
              <w:jc w:val="center"/>
              <w:ind w:left="320"/>
              <w:spacing w:after="0" w:line="133" w:lineRule="exact"/>
              <w:rPr>
                <w:sz w:val="20"/>
                <w:szCs w:val="20"/>
                <w:color w:val="auto"/>
              </w:rPr>
            </w:pPr>
            <w:r>
              <w:rPr>
                <w:rFonts w:ascii="Arial" w:cs="Arial" w:eastAsia="Arial" w:hAnsi="Arial"/>
                <w:sz w:val="12"/>
                <w:szCs w:val="12"/>
                <w:b w:val="1"/>
                <w:bCs w:val="1"/>
                <w:color w:val="auto"/>
              </w:rPr>
              <w:t>(D) or Indirect</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 (Instr. 4)</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60" w:type="dxa"/>
            <w:vAlign w:val="bottom"/>
            <w:gridSpan w:val="4"/>
            <w:vMerge w:val="restart"/>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gridSpan w:val="4"/>
          </w:tcPr>
          <w:p>
            <w:pPr>
              <w:ind w:left="680"/>
              <w:spacing w:after="0"/>
              <w:rPr>
                <w:sz w:val="20"/>
                <w:szCs w:val="20"/>
                <w:color w:val="auto"/>
              </w:rPr>
            </w:pPr>
            <w:r>
              <w:rPr>
                <w:rFonts w:ascii="Times New Roman" w:cs="Times New Roman" w:eastAsia="Times New Roman" w:hAnsi="Times New Roman"/>
                <w:sz w:val="17"/>
                <w:szCs w:val="17"/>
                <w:color w:val="0000FF"/>
              </w:rPr>
              <w:t>08/21/2024</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7,229</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69,576</w:t>
            </w:r>
          </w:p>
        </w:tc>
        <w:tc>
          <w:tcPr>
            <w:tcW w:w="700" w:type="dxa"/>
            <w:vAlign w:val="bottom"/>
          </w:tcPr>
          <w:p>
            <w:pPr>
              <w:spacing w:after="0"/>
              <w:rPr>
                <w:sz w:val="23"/>
                <w:szCs w:val="23"/>
                <w:color w:val="auto"/>
              </w:rPr>
            </w:pPr>
          </w:p>
        </w:tc>
        <w:tc>
          <w:tcPr>
            <w:tcW w:w="480" w:type="dxa"/>
            <w:vAlign w:val="bottom"/>
          </w:tcPr>
          <w:p>
            <w:pPr>
              <w:jc w:val="center"/>
              <w:ind w:right="253"/>
              <w:spacing w:after="0"/>
              <w:rPr>
                <w:sz w:val="20"/>
                <w:szCs w:val="20"/>
                <w:color w:val="auto"/>
              </w:rPr>
            </w:pPr>
            <w:r>
              <w:rPr>
                <w:rFonts w:ascii="Times New Roman" w:cs="Times New Roman" w:eastAsia="Times New Roman" w:hAnsi="Times New Roman"/>
                <w:sz w:val="17"/>
                <w:szCs w:val="17"/>
                <w:color w:val="0000FF"/>
                <w:w w:val="97"/>
              </w:rPr>
              <w:t>D</w:t>
            </w: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7"/>
                <w:szCs w:val="17"/>
                <w:color w:val="0000FF"/>
              </w:rPr>
              <w:t>12,035,635</w:t>
            </w:r>
          </w:p>
        </w:tc>
        <w:tc>
          <w:tcPr>
            <w:tcW w:w="480" w:type="dxa"/>
            <w:vAlign w:val="bottom"/>
            <w:vMerge w:val="restart"/>
          </w:tcPr>
          <w:p>
            <w:pPr>
              <w:jc w:val="center"/>
              <w:ind w:right="253"/>
              <w:spacing w:after="0"/>
              <w:rPr>
                <w:sz w:val="20"/>
                <w:szCs w:val="20"/>
                <w:color w:val="auto"/>
              </w:rPr>
            </w:pPr>
            <w:r>
              <w:rPr>
                <w:rFonts w:ascii="Times New Roman" w:cs="Times New Roman" w:eastAsia="Times New Roman" w:hAnsi="Times New Roman"/>
                <w:sz w:val="16"/>
                <w:szCs w:val="16"/>
                <w:color w:val="0000FF"/>
                <w:w w:val="74"/>
              </w:rPr>
              <w:t>I</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4"/>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gridSpan w:val="5"/>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40" w:type="dxa"/>
            <w:vAlign w:val="bottom"/>
            <w:gridSpan w:val="2"/>
          </w:tcPr>
          <w:p>
            <w:pPr>
              <w:ind w:left="4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80" w:firstLine="7"/>
        <w:spacing w:after="0" w:line="24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is held directly by Pollos Investment L.P. ("Pollos Investment"). The limited partnership interests of Pollos Investment are ultimately owned by a private fund ("Fund") for which an affiliate of the Reporting Person is special limited partner ("Special Limited Partner") and has a contingent right to receive a performance fee. The Reporting Person is a shareholder of the parent company of the general partner of the Special Limited Partner (the "Parent Company") and may be deemed to have pecuniary interest through his indirect entitlement to receive a share of any Fund performance fee.</w:t>
      </w:r>
    </w:p>
    <w:p>
      <w:pPr>
        <w:spacing w:after="0" w:line="176" w:lineRule="exact"/>
        <w:rPr>
          <w:rFonts w:ascii="Times New Roman" w:cs="Times New Roman" w:eastAsia="Times New Roman" w:hAnsi="Times New Roman"/>
          <w:sz w:val="13"/>
          <w:szCs w:val="13"/>
          <w:color w:val="008000"/>
        </w:rPr>
      </w:pPr>
    </w:p>
    <w:p>
      <w:pPr>
        <w:ind w:left="40" w:right="24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securities and derivative instruments held directly by Pollos Investment, including in the shares sold in the Transaction, except to the extent of his pecuniary interest, if any, in such securities or instruments as a result of his interest in the Parent Company, and inclusion in this form shall not otherwise be deemed an admission of beneficial ownership for purposes of Section 16 of the Securities Exchange Act of 1934 or for any other purpose.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Jonathan Gaines, Attorney- </w:t>
      </w:r>
      <w:r>
        <w:rPr>
          <w:rFonts w:ascii="Times New Roman" w:cs="Times New Roman" w:eastAsia="Times New Roman" w:hAnsi="Times New Roman"/>
          <w:sz w:val="33"/>
          <w:szCs w:val="33"/>
          <w:color w:val="0000FF"/>
          <w:vertAlign w:val="subscript"/>
        </w:rPr>
        <w:t>08/23/2024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686100" TargetMode="External"/><Relationship Id="rId12"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2024-08-23T08:08:27Z</dcterms:created>
  <dcterms:modified xsi:type="dcterms:W3CDTF">2024-08-23T08:08:27Z</dcterms:modified>
</cp:coreProperties>
</file>