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Ding Adrian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YUM CHINA BUILDING</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 TIAN YAO QIAO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SHANGHAI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F4</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CHINA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Yum China Holdings, Inc.</w:t>
              </w:r>
            </w:hyperlink>
            <w:r>
              <w:rPr/>
              <w:t xml:space="preserve"> [ </w:t>
            </w:r>
            <w:r>
              <w:rPr>
                <w:rFonts w:ascii="Times;serif" w:hAnsi="Times;serif"/>
                <w:color w:val="0000FF"/>
                <w:sz w:val="24"/>
                <w:shd w:fill="FFFFFF" w:val="clear"/>
              </w:rPr>
              <w:t>YUMC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98"/>
        <w:gridCol w:w="303"/>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w:t>
            </w:r>
          </w:p>
        </w:tc>
        <w:tc>
          <w:tcPr>
            <w:tcW w:w="3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3,176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45</w:t>
            </w:r>
          </w:p>
        </w:tc>
        <w:tc>
          <w:tcPr>
            <w:tcW w:w="3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6,527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43</w:t>
            </w:r>
          </w:p>
        </w:tc>
        <w:tc>
          <w:tcPr>
            <w:tcW w:w="3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6,302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134</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19,350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Conversion occurs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units represent Restricted Stock Units issuable to the Reporting Person as a dividend equivalency payment with respect to Restricted Stock Units previously issued to the Reporting Person which vest 1/3 per year beginning one year from the grant date. The Restricted Stock Units reported herein shall vest on the same date and under the same terms as the underlying Restricted Stock Units with respect of which these dividend equivalency units vest.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grant does not have an expiration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Pingping Liu,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38817" TargetMode="External"/><Relationship Id="rId5" Type="http://schemas.openxmlformats.org/officeDocument/2006/relationships/hyperlink" Target="http://www.sec.gov/cgi-bin/browse-edgar?action=getcompany&amp;CIK=00016733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711</Words>
  <Characters>3769</Characters>
  <CharactersWithSpaces>4369</CharactersWithSpaces>
  <Paragraphs>140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