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5759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7594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HUANG Duoduo (Howard)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1640"/>
        <w:spacing w:after="0" w:line="385" w:lineRule="auto"/>
        <w:rPr>
          <w:sz w:val="20"/>
          <w:szCs w:val="20"/>
          <w:color w:val="auto"/>
        </w:rPr>
      </w:pPr>
      <w:r>
        <w:rPr>
          <w:rFonts w:ascii="Times New Roman" w:cs="Times New Roman" w:eastAsia="Times New Roman" w:hAnsi="Times New Roman"/>
          <w:sz w:val="16"/>
          <w:szCs w:val="16"/>
          <w:color w:val="0000FF"/>
        </w:rPr>
        <w:t>YUM CHINA BUILDING 20 TIAN YAO QIAO ROAD</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200030</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Yum China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YUMC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060" w:type="dxa"/>
            <w:vAlign w:val="bottom"/>
            <w:tcBorders>
              <w:top w:val="single" w:sz="8" w:color="0000EE"/>
            </w:tcBorders>
          </w:tcPr>
          <w:p>
            <w:pPr>
              <w:spacing w:after="0"/>
              <w:rPr>
                <w:sz w:val="12"/>
                <w:szCs w:val="12"/>
                <w:color w:val="auto"/>
              </w:rPr>
            </w:pPr>
          </w:p>
        </w:tc>
        <w:tc>
          <w:tcPr>
            <w:tcW w:w="1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2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12/19/2023</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Chief Supply Chain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12/19/2023</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19</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6,099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12/19/2023</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3"/>
              </w:rPr>
              <w:t>2</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914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12/19/2023</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15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4,874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12/19/2023</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center"/>
              <w:ind w:right="280"/>
              <w:spacing w:after="0"/>
              <w:rPr>
                <w:sz w:val="20"/>
                <w:szCs w:val="20"/>
                <w:color w:val="auto"/>
              </w:rPr>
            </w:pPr>
            <w:r>
              <w:rPr>
                <w:rFonts w:ascii="Times New Roman" w:cs="Times New Roman" w:eastAsia="Times New Roman" w:hAnsi="Times New Roman"/>
                <w:sz w:val="13"/>
                <w:szCs w:val="13"/>
                <w:color w:val="0000FF"/>
              </w:rPr>
              <w:t>15</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4,874</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occurs on a one-for-one basis.</w:t>
      </w:r>
    </w:p>
    <w:p>
      <w:pPr>
        <w:spacing w:after="0" w:line="45" w:lineRule="exact"/>
        <w:rPr>
          <w:rFonts w:ascii="Times New Roman" w:cs="Times New Roman" w:eastAsia="Times New Roman" w:hAnsi="Times New Roman"/>
          <w:sz w:val="13"/>
          <w:szCs w:val="13"/>
          <w:color w:val="008000"/>
        </w:rPr>
      </w:pPr>
    </w:p>
    <w:p>
      <w:pPr>
        <w:jc w:val="both"/>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50% on the second anniversary of the grant date and the remaining 50% will vest on the third anniversary of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grant does not have an expiration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2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Pingping Liu, Power of</w:t>
            </w:r>
          </w:p>
        </w:tc>
        <w:tc>
          <w:tcPr>
            <w:tcW w:w="240" w:type="dxa"/>
            <w:vAlign w:val="bottom"/>
          </w:tcPr>
          <w:p>
            <w:pPr>
              <w:spacing w:after="0"/>
              <w:rPr>
                <w:sz w:val="17"/>
                <w:szCs w:val="17"/>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12/21/2023</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Attorney</w:t>
            </w:r>
          </w:p>
        </w:tc>
        <w:tc>
          <w:tcPr>
            <w:tcW w:w="144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68156" TargetMode="External"/><Relationship Id="rId13" Type="http://schemas.openxmlformats.org/officeDocument/2006/relationships/hyperlink" Target="http://www.sec.gov/cgi-bin/browse-edgar?action=getcompany&amp;CIK=0001673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2023-12-21T07:56:29Z</dcterms:created>
  <dcterms:modified xsi:type="dcterms:W3CDTF">2023-12-21T07:56:29Z</dcterms:modified>
</cp:coreProperties>
</file>