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21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2160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HUANG Duoduo (Howard)</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31"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Yum China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YUMC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36"/>
        <w:spacing w:after="0"/>
        <w:rPr>
          <w:sz w:val="20"/>
          <w:szCs w:val="20"/>
          <w:color w:val="auto"/>
        </w:rPr>
      </w:pPr>
      <w:r>
        <w:rPr>
          <w:rFonts w:ascii="Times New Roman" w:cs="Times New Roman" w:eastAsia="Times New Roman" w:hAnsi="Times New Roman"/>
          <w:sz w:val="17"/>
          <w:szCs w:val="17"/>
          <w:color w:val="0000FF"/>
        </w:rPr>
        <w:t>Chief Supply Chain Officer</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F4</w:t>
            </w:r>
          </w:p>
        </w:tc>
        <w:tc>
          <w:tcPr>
            <w:tcW w:w="100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200030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21</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21</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3,152</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40</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40</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6,121</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72</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72</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10,919</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-2552065</wp:posOffset>
            </wp:positionV>
            <wp:extent cx="29210" cy="255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57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06/22/2026</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8156"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2026-06-22T06:27:41Z</dcterms:created>
  <dcterms:modified xsi:type="dcterms:W3CDTF">2026-06-22T06:27:41Z</dcterms:modified>
</cp:coreProperties>
</file>