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Yum China Holdings, Inc.</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5" w:lineRule="exact"/>
        <w:rPr>
          <w:sz w:val="24"/>
          <w:szCs w:val="24"/>
          <w:color w:val="auto"/>
        </w:rPr>
      </w:pPr>
    </w:p>
    <w:tbl>
      <w:tblPr>
        <w:tblLayout w:type="fixed"/>
        <w:tblInd w:w="940" w:type="dxa"/>
        <w:tblCellMar>
          <w:top w:w="0" w:type="dxa"/>
          <w:left w:w="0" w:type="dxa"/>
          <w:bottom w:w="0" w:type="dxa"/>
          <w:right w:w="0" w:type="dxa"/>
        </w:tblCellMar>
      </w:tblPr>
      <w:tr>
        <w:trPr>
          <w:trHeight w:val="216"/>
        </w:trPr>
        <w:tc>
          <w:tcPr>
            <w:tcW w:w="3020" w:type="dxa"/>
            <w:vAlign w:val="bottom"/>
          </w:tcPr>
          <w:p>
            <w:pPr>
              <w:jc w:val="center"/>
              <w:ind w:right="120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50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001-37762</w:t>
            </w:r>
          </w:p>
        </w:tc>
        <w:tc>
          <w:tcPr>
            <w:tcW w:w="2520" w:type="dxa"/>
            <w:vAlign w:val="bottom"/>
          </w:tcPr>
          <w:p>
            <w:pPr>
              <w:jc w:val="center"/>
              <w:ind w:left="1362"/>
              <w:spacing w:after="0"/>
              <w:rPr>
                <w:sz w:val="20"/>
                <w:szCs w:val="20"/>
                <w:color w:val="auto"/>
              </w:rPr>
            </w:pPr>
            <w:r>
              <w:rPr>
                <w:rFonts w:ascii="Times New Roman" w:cs="Times New Roman" w:eastAsia="Times New Roman" w:hAnsi="Times New Roman"/>
                <w:sz w:val="18"/>
                <w:szCs w:val="18"/>
                <w:b w:val="1"/>
                <w:bCs w:val="1"/>
                <w:color w:val="auto"/>
              </w:rPr>
              <w:t>81-2421743</w:t>
            </w:r>
          </w:p>
        </w:tc>
      </w:tr>
      <w:tr>
        <w:trPr>
          <w:trHeight w:val="148"/>
        </w:trPr>
        <w:tc>
          <w:tcPr>
            <w:tcW w:w="3020" w:type="dxa"/>
            <w:vAlign w:val="bottom"/>
          </w:tcPr>
          <w:p>
            <w:pPr>
              <w:jc w:val="center"/>
              <w:ind w:right="1202"/>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3500" w:type="dxa"/>
            <w:vAlign w:val="bottom"/>
          </w:tcPr>
          <w:p>
            <w:pPr>
              <w:ind w:left="1280"/>
              <w:spacing w:after="0" w:line="149" w:lineRule="exact"/>
              <w:rPr>
                <w:sz w:val="20"/>
                <w:szCs w:val="20"/>
                <w:color w:val="auto"/>
              </w:rPr>
            </w:pPr>
            <w:r>
              <w:rPr>
                <w:rFonts w:ascii="Times New Roman" w:cs="Times New Roman" w:eastAsia="Times New Roman" w:hAnsi="Times New Roman"/>
                <w:sz w:val="14"/>
                <w:szCs w:val="14"/>
                <w:color w:val="auto"/>
              </w:rPr>
              <w:t>(Commission</w:t>
            </w:r>
          </w:p>
        </w:tc>
        <w:tc>
          <w:tcPr>
            <w:tcW w:w="2520" w:type="dxa"/>
            <w:vAlign w:val="bottom"/>
          </w:tcPr>
          <w:p>
            <w:pPr>
              <w:jc w:val="center"/>
              <w:ind w:left="1382"/>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020" w:type="dxa"/>
            <w:vAlign w:val="bottom"/>
          </w:tcPr>
          <w:p>
            <w:pPr>
              <w:jc w:val="center"/>
              <w:ind w:right="1202"/>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3500" w:type="dxa"/>
            <w:vAlign w:val="bottom"/>
          </w:tcPr>
          <w:p>
            <w:pPr>
              <w:ind w:left="1280"/>
              <w:spacing w:after="0"/>
              <w:rPr>
                <w:sz w:val="20"/>
                <w:szCs w:val="20"/>
                <w:color w:val="auto"/>
              </w:rPr>
            </w:pPr>
            <w:r>
              <w:rPr>
                <w:rFonts w:ascii="Times New Roman" w:cs="Times New Roman" w:eastAsia="Times New Roman" w:hAnsi="Times New Roman"/>
                <w:sz w:val="14"/>
                <w:szCs w:val="14"/>
                <w:color w:val="auto"/>
              </w:rPr>
              <w:t>File Number)</w:t>
            </w:r>
          </w:p>
        </w:tc>
        <w:tc>
          <w:tcPr>
            <w:tcW w:w="2520" w:type="dxa"/>
            <w:vAlign w:val="bottom"/>
          </w:tcPr>
          <w:p>
            <w:pPr>
              <w:jc w:val="center"/>
              <w:ind w:left="1362"/>
              <w:spacing w:after="0"/>
              <w:rPr>
                <w:sz w:val="20"/>
                <w:szCs w:val="20"/>
                <w:color w:val="auto"/>
              </w:rPr>
            </w:pPr>
            <w:r>
              <w:rPr>
                <w:rFonts w:ascii="Times New Roman" w:cs="Times New Roman" w:eastAsia="Times New Roman" w:hAnsi="Times New Roman"/>
                <w:sz w:val="14"/>
                <w:szCs w:val="14"/>
                <w:color w:val="auto"/>
              </w:rPr>
              <w:t>Identification No.)</w:t>
            </w:r>
          </w:p>
        </w:tc>
      </w:tr>
    </w:tbl>
    <w:p>
      <w:pPr>
        <w:spacing w:after="0" w:line="82" w:lineRule="exact"/>
        <w:rPr>
          <w:sz w:val="24"/>
          <w:szCs w:val="24"/>
          <w:color w:val="auto"/>
        </w:rPr>
      </w:pPr>
    </w:p>
    <w:tbl>
      <w:tblPr>
        <w:tblLayout w:type="fixed"/>
        <w:tblInd w:w="196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318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Yum China Building</w:t>
            </w:r>
          </w:p>
        </w:tc>
      </w:tr>
      <w:tr>
        <w:trPr>
          <w:trHeight w:val="216"/>
        </w:trPr>
        <w:tc>
          <w:tcPr>
            <w:tcW w:w="382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99"/>
              </w:rPr>
              <w:t>101 East Park Boulevard, Suite 805</w:t>
            </w:r>
          </w:p>
        </w:tc>
        <w:tc>
          <w:tcPr>
            <w:tcW w:w="318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rPr>
              <w:t>20 Tian Yao Qiao Road</w:t>
            </w:r>
          </w:p>
        </w:tc>
      </w:tr>
      <w:tr>
        <w:trPr>
          <w:trHeight w:val="216"/>
        </w:trPr>
        <w:tc>
          <w:tcPr>
            <w:tcW w:w="382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8"/>
              </w:rPr>
              <w:t>Plano, Texas 75074</w:t>
            </w:r>
          </w:p>
        </w:tc>
        <w:tc>
          <w:tcPr>
            <w:tcW w:w="318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Shanghai 200030</w:t>
            </w:r>
          </w:p>
        </w:tc>
      </w:tr>
      <w:tr>
        <w:trPr>
          <w:trHeight w:val="232"/>
        </w:trPr>
        <w:tc>
          <w:tcPr>
            <w:tcW w:w="382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rPr>
              <w:t>United States of America</w:t>
            </w:r>
          </w:p>
        </w:tc>
        <w:tc>
          <w:tcPr>
            <w:tcW w:w="318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People’s Republic of China</w:t>
            </w:r>
          </w:p>
        </w:tc>
      </w:tr>
    </w:tbl>
    <w:p>
      <w:pPr>
        <w:jc w:val="center"/>
        <w:spacing w:after="0"/>
        <w:rPr>
          <w:sz w:val="20"/>
          <w:szCs w:val="20"/>
          <w:color w:val="auto"/>
        </w:rPr>
      </w:pPr>
      <w:r>
        <w:rPr>
          <w:rFonts w:ascii="Times New Roman" w:cs="Times New Roman" w:eastAsia="Times New Roman" w:hAnsi="Times New Roman"/>
          <w:sz w:val="14"/>
          <w:szCs w:val="14"/>
          <w:color w:val="auto"/>
        </w:rPr>
        <w:t>(Address, including zip code, of principal executive offices)</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(469) 980-2898</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90805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520" w:hanging="41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20" w:hanging="41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20" w:hanging="41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00" w:firstLine="105"/>
        <w:spacing w:after="0" w:line="392" w:lineRule="auto"/>
        <w:tabs>
          <w:tab w:leader="none" w:pos="50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21"/>
        </w:trPr>
        <w:tc>
          <w:tcPr>
            <w:tcW w:w="51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100" w:type="dxa"/>
            <w:vAlign w:val="bottom"/>
            <w:tcBorders>
              <w:top w:val="single" w:sz="8" w:color="auto"/>
              <w:right w:val="single" w:sz="8" w:color="auto"/>
            </w:tcBorders>
          </w:tcPr>
          <w:p>
            <w:pPr>
              <w:jc w:val="center"/>
              <w:spacing w:after="0" w:line="121" w:lineRule="exact"/>
              <w:rPr>
                <w:sz w:val="20"/>
                <w:szCs w:val="20"/>
                <w:color w:val="auto"/>
              </w:rPr>
            </w:pPr>
            <w:r>
              <w:rPr>
                <w:rFonts w:ascii="Times New Roman" w:cs="Times New Roman" w:eastAsia="Times New Roman" w:hAnsi="Times New Roman"/>
                <w:sz w:val="14"/>
                <w:szCs w:val="14"/>
                <w:b w:val="1"/>
                <w:bCs w:val="1"/>
                <w:color w:val="auto"/>
              </w:rPr>
              <w:t>Trading</w:t>
            </w:r>
          </w:p>
        </w:tc>
        <w:tc>
          <w:tcPr>
            <w:tcW w:w="50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0"/>
        </w:trPr>
        <w:tc>
          <w:tcPr>
            <w:tcW w:w="510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50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1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1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YUMC</w:t>
            </w:r>
          </w:p>
        </w:tc>
        <w:tc>
          <w:tcPr>
            <w:tcW w:w="5040" w:type="dxa"/>
            <w:vAlign w:val="bottom"/>
            <w:tcBorders>
              <w:bottom w:val="single" w:sz="8" w:color="auto"/>
              <w:right w:val="single" w:sz="8" w:color="auto"/>
            </w:tcBorders>
          </w:tcPr>
          <w:p>
            <w:pPr>
              <w:ind w:left="1580"/>
              <w:spacing w:after="0" w:line="193" w:lineRule="exact"/>
              <w:rPr>
                <w:sz w:val="20"/>
                <w:szCs w:val="20"/>
                <w:color w:val="auto"/>
              </w:rPr>
            </w:pPr>
            <w:r>
              <w:rPr>
                <w:rFonts w:ascii="Times New Roman" w:cs="Times New Roman" w:eastAsia="Times New Roman" w:hAnsi="Times New Roman"/>
                <w:sz w:val="18"/>
                <w:szCs w:val="18"/>
                <w:color w:val="auto"/>
              </w:rPr>
              <w:t>New York Stock Exchange</w:t>
            </w:r>
          </w:p>
        </w:tc>
        <w:tc>
          <w:tcPr>
            <w:tcW w:w="0" w:type="dxa"/>
            <w:vAlign w:val="bottom"/>
          </w:tcPr>
          <w:p>
            <w:pPr>
              <w:spacing w:after="0"/>
              <w:rPr>
                <w:sz w:val="1"/>
                <w:szCs w:val="1"/>
                <w:color w:val="auto"/>
              </w:rPr>
            </w:pPr>
          </w:p>
        </w:tc>
      </w:tr>
      <w:tr>
        <w:trPr>
          <w:trHeight w:val="88"/>
        </w:trPr>
        <w:tc>
          <w:tcPr>
            <w:tcW w:w="5100" w:type="dxa"/>
            <w:vAlign w:val="bottom"/>
            <w:tcBorders>
              <w:left w:val="single" w:sz="8" w:color="auto"/>
              <w:right w:val="single" w:sz="8" w:color="auto"/>
            </w:tcBorders>
            <w:vMerge w:val="continue"/>
          </w:tcPr>
          <w:p>
            <w:pPr>
              <w:spacing w:after="0"/>
              <w:rPr>
                <w:sz w:val="7"/>
                <w:szCs w:val="7"/>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9987</w:t>
            </w:r>
          </w:p>
        </w:tc>
        <w:tc>
          <w:tcPr>
            <w:tcW w:w="5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 Stock Exchange of Hong Kong Limited</w:t>
            </w:r>
          </w:p>
        </w:tc>
        <w:tc>
          <w:tcPr>
            <w:tcW w:w="0" w:type="dxa"/>
            <w:vAlign w:val="bottom"/>
          </w:tcPr>
          <w:p>
            <w:pPr>
              <w:spacing w:after="0"/>
              <w:rPr>
                <w:sz w:val="1"/>
                <w:szCs w:val="1"/>
                <w:color w:val="auto"/>
              </w:rPr>
            </w:pPr>
          </w:p>
        </w:tc>
      </w:tr>
      <w:tr>
        <w:trPr>
          <w:trHeight w:val="121"/>
        </w:trPr>
        <w:tc>
          <w:tcPr>
            <w:tcW w:w="5100" w:type="dxa"/>
            <w:vAlign w:val="bottom"/>
            <w:tcBorders>
              <w:left w:val="single" w:sz="8" w:color="auto"/>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vMerge w:val="continue"/>
          </w:tcPr>
          <w:p>
            <w:pPr>
              <w:spacing w:after="0"/>
              <w:rPr>
                <w:sz w:val="10"/>
                <w:szCs w:val="10"/>
                <w:color w:val="auto"/>
              </w:rPr>
            </w:pPr>
          </w:p>
        </w:tc>
        <w:tc>
          <w:tcPr>
            <w:tcW w:w="50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17"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71"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904240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8"/>
          <w:szCs w:val="18"/>
          <w:color w:val="auto"/>
        </w:rPr>
        <w:t>On November 3, 2026, Yum China Holdings, Inc. issued a press release announcing its unaudited results for the third quarter ended September 30, 2026. A copy of the press release is being furnished as Exhibit 99.1 to this Current Report on Form 8-K.</w:t>
      </w:r>
    </w:p>
    <w:p>
      <w:pPr>
        <w:spacing w:after="0" w:line="158" w:lineRule="exact"/>
        <w:rPr>
          <w:sz w:val="20"/>
          <w:szCs w:val="20"/>
          <w:color w:val="auto"/>
        </w:rPr>
      </w:pPr>
    </w:p>
    <w:p>
      <w:pPr>
        <w:ind w:left="1140" w:right="12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86"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On November 3, 2026, the Board of Directors (the “Board”) of the Company expanded its size from 12 directors to 13 directors and appointed Mr. Alexander Dimitrief, a partner at Zeughauser Group, as a director, with both actions effective as of November 4, 2026. Mr. Dimitrief will serve for a term expiring at the 2027 annual meeting of stockholders of the Company or until his earlier death, resignation or removal. The Board determined that Mr. Dimitrief is independent of the Company and its management under the New York Stock Exchange listing standards and the Rules Governing the Listing of Securities on The Stock Exchange of Hong Kong Limited.</w:t>
      </w:r>
    </w:p>
    <w:p>
      <w:pPr>
        <w:spacing w:after="0" w:line="183" w:lineRule="exact"/>
        <w:rPr>
          <w:sz w:val="20"/>
          <w:szCs w:val="20"/>
          <w:color w:val="auto"/>
        </w:rPr>
      </w:pPr>
    </w:p>
    <w:p>
      <w:pPr>
        <w:jc w:val="both"/>
        <w:ind w:firstLine="449"/>
        <w:spacing w:after="0" w:line="258" w:lineRule="auto"/>
        <w:rPr>
          <w:sz w:val="20"/>
          <w:szCs w:val="20"/>
          <w:color w:val="auto"/>
        </w:rPr>
      </w:pPr>
      <w:r>
        <w:rPr>
          <w:rFonts w:ascii="Times New Roman" w:cs="Times New Roman" w:eastAsia="Times New Roman" w:hAnsi="Times New Roman"/>
          <w:sz w:val="18"/>
          <w:szCs w:val="18"/>
          <w:color w:val="auto"/>
        </w:rPr>
        <w:t>Mr. Dimitrief will be entitled to an annual retainer equal to $315,000 for his service as a director in accordance with the director compensation policy previously approved by the Board, which will be pro-rated and payable in Company common stock or, if requested by him, up to one-half in cash. In connection with his appointment, the Company and Mr. Dimitrief will enter into the Company’s standard form of director indemnification agreement, the form of which was filed as Exhibit 10.10 to the Company’s Current Report on Form 8-K filed with the Securities and Exchange Commission on November 1, 2016.</w:t>
      </w:r>
    </w:p>
    <w:p>
      <w:pPr>
        <w:spacing w:after="0" w:line="183"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Mr. Dimitrief and any other persons pursuant to which Mr. Dimitrief was selected as a director. There are no transactions involving the Company and Mr. Dimitrief that the Company would be required to report pursuant to Item 404(a) of Regulation S-K.</w:t>
      </w:r>
    </w:p>
    <w:p>
      <w:pPr>
        <w:spacing w:after="0" w:line="17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right="20" w:firstLine="449"/>
        <w:spacing w:after="0" w:line="282" w:lineRule="auto"/>
        <w:rPr>
          <w:sz w:val="20"/>
          <w:szCs w:val="20"/>
          <w:color w:val="auto"/>
        </w:rPr>
      </w:pPr>
      <w:r>
        <w:rPr>
          <w:rFonts w:ascii="Times New Roman" w:cs="Times New Roman" w:eastAsia="Times New Roman" w:hAnsi="Times New Roman"/>
          <w:sz w:val="18"/>
          <w:szCs w:val="18"/>
          <w:color w:val="auto"/>
        </w:rPr>
        <w:t>A copy of the Company’s press release relating to Mr. Dimitrief’s appointment as a director is being furnished as Exhibit 99.2 to this Current Report on Form 8-K.</w:t>
      </w:r>
    </w:p>
    <w:p>
      <w:pPr>
        <w:spacing w:after="0" w:line="15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ind w:left="840" w:hanging="383"/>
        <w:spacing w:after="0"/>
        <w:tabs>
          <w:tab w:leader="none" w:pos="8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exhibits are furnished with this report:</w:t>
      </w:r>
    </w:p>
    <w:p>
      <w:pPr>
        <w:spacing w:after="0" w:line="252"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Exhibit No.</w:t>
            </w:r>
          </w:p>
        </w:tc>
        <w:tc>
          <w:tcPr>
            <w:tcW w:w="140" w:type="dxa"/>
            <w:vAlign w:val="bottom"/>
          </w:tcPr>
          <w:p>
            <w:pPr>
              <w:spacing w:after="0"/>
              <w:rPr>
                <w:sz w:val="20"/>
                <w:szCs w:val="20"/>
                <w:color w:val="auto"/>
              </w:rPr>
            </w:pPr>
          </w:p>
        </w:tc>
        <w:tc>
          <w:tcPr>
            <w:tcW w:w="9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 Description</w:t>
            </w:r>
          </w:p>
        </w:tc>
      </w:tr>
      <w:tr>
        <w:trPr>
          <w:trHeight w:val="169"/>
        </w:trPr>
        <w:tc>
          <w:tcPr>
            <w:tcW w:w="11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14"/>
                <w:szCs w:val="14"/>
                <w:color w:val="auto"/>
              </w:rPr>
            </w:pPr>
          </w:p>
        </w:tc>
        <w:tc>
          <w:tcPr>
            <w:tcW w:w="8860" w:type="dxa"/>
            <w:vAlign w:val="bottom"/>
            <w:tcBorders>
              <w:top w:val="single" w:sz="8" w:color="auto"/>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9"/>
              </w:rPr>
              <w:t>Press Release of Yum China Holdings, Inc. issued November 3, 2026 announcing its unaudited results for the third quarter</w:t>
            </w:r>
          </w:p>
        </w:tc>
        <w:tc>
          <w:tcPr>
            <w:tcW w:w="220" w:type="dxa"/>
            <w:vAlign w:val="bottom"/>
            <w:tcBorders>
              <w:top w:val="single" w:sz="8" w:color="auto"/>
            </w:tcBorders>
          </w:tcPr>
          <w:p>
            <w:pPr>
              <w:spacing w:after="0"/>
              <w:rPr>
                <w:sz w:val="14"/>
                <w:szCs w:val="14"/>
                <w:color w:val="auto"/>
              </w:rPr>
            </w:pPr>
          </w:p>
        </w:tc>
      </w:tr>
      <w:tr>
        <w:trPr>
          <w:trHeight w:val="196"/>
        </w:trPr>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ended September 30, 2026.</w:t>
            </w: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99.2</w:t>
            </w:r>
          </w:p>
        </w:tc>
        <w:tc>
          <w:tcPr>
            <w:tcW w:w="140" w:type="dxa"/>
            <w:vAlign w:val="bottom"/>
          </w:tcPr>
          <w:p>
            <w:pPr>
              <w:spacing w:after="0"/>
              <w:rPr>
                <w:sz w:val="17"/>
                <w:szCs w:val="17"/>
                <w:color w:val="auto"/>
              </w:rPr>
            </w:pPr>
          </w:p>
        </w:tc>
        <w:tc>
          <w:tcPr>
            <w:tcW w:w="90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Press Release of Yum China Holdings, Inc. issued November 3, 2026 announcing the director appointment.</w:t>
            </w:r>
          </w:p>
        </w:tc>
      </w:tr>
      <w:tr>
        <w:trPr>
          <w:trHeight w:val="20"/>
        </w:trPr>
        <w:tc>
          <w:tcPr>
            <w:tcW w:w="1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5820" w:type="dxa"/>
            <w:vAlign w:val="bottom"/>
            <w:tcBorders>
              <w:right w:val="single" w:sz="8" w:color="0000EE"/>
            </w:tcBorders>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36" w:lineRule="exact"/>
        <w:rPr>
          <w:sz w:val="20"/>
          <w:szCs w:val="20"/>
          <w:color w:val="auto"/>
        </w:rPr>
      </w:pPr>
    </w:p>
    <w:p>
      <w:pPr>
        <w:ind w:left="1700" w:hanging="1240"/>
        <w:spacing w:after="0"/>
        <w:tabs>
          <w:tab w:leader="none" w:pos="1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YUM CHINA HOLDINGS, INC.</w:t>
      </w:r>
    </w:p>
    <w:p>
      <w:pPr>
        <w:spacing w:after="0" w:line="252" w:lineRule="exact"/>
        <w:rPr>
          <w:sz w:val="20"/>
          <w:szCs w:val="20"/>
          <w:color w:val="auto"/>
        </w:rPr>
      </w:pPr>
    </w:p>
    <w:p>
      <w:pPr>
        <w:ind w:left="6160"/>
        <w:spacing w:after="0"/>
        <w:tabs>
          <w:tab w:leader="none" w:pos="6580" w:val="left"/>
        </w:tabs>
        <w:rPr>
          <w:sz w:val="20"/>
          <w:szCs w:val="20"/>
          <w:color w:val="auto"/>
        </w:rPr>
      </w:pPr>
      <w:r>
        <w:rPr>
          <w:rFonts w:ascii="Times New Roman" w:cs="Times New Roman" w:eastAsia="Times New Roman" w:hAnsi="Times New Roman"/>
          <w:sz w:val="18"/>
          <w:szCs w:val="18"/>
          <w:color w:val="auto"/>
        </w:rPr>
        <w:t>By:</w:t>
        <w:tab/>
        <w:t>/s/ Pingping Liu</w:t>
      </w:r>
    </w:p>
    <w:p>
      <w:pPr>
        <w:spacing w:after="0" w:line="27" w:lineRule="exact"/>
        <w:rPr>
          <w:sz w:val="20"/>
          <w:szCs w:val="20"/>
          <w:color w:val="auto"/>
        </w:rPr>
      </w:pPr>
    </w:p>
    <w:tbl>
      <w:tblPr>
        <w:tblLayout w:type="fixed"/>
        <w:tblInd w:w="6600" w:type="dxa"/>
        <w:tblCellMar>
          <w:top w:w="0" w:type="dxa"/>
          <w:left w:w="0" w:type="dxa"/>
          <w:bottom w:w="0" w:type="dxa"/>
          <w:right w:w="0" w:type="dxa"/>
        </w:tblCellMar>
      </w:tblPr>
      <w:tr>
        <w:trPr>
          <w:trHeight w:val="191"/>
        </w:trPr>
        <w:tc>
          <w:tcPr>
            <w:tcW w:w="6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4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Pingping Liu</w:t>
            </w: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Legal Officer</w:t>
            </w:r>
          </w:p>
        </w:tc>
      </w:tr>
    </w:tbl>
    <w:p>
      <w:pPr>
        <w:spacing w:after="0"/>
        <w:rPr>
          <w:sz w:val="20"/>
          <w:szCs w:val="20"/>
          <w:color w:val="auto"/>
        </w:rPr>
      </w:pPr>
      <w:r>
        <w:rPr>
          <w:rFonts w:ascii="Times New Roman" w:cs="Times New Roman" w:eastAsia="Times New Roman" w:hAnsi="Times New Roman"/>
          <w:sz w:val="18"/>
          <w:szCs w:val="18"/>
          <w:color w:val="auto"/>
        </w:rPr>
        <w:t>Date: November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617220" cy="6172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722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Yum China Reports Third Quarter 2026 Results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Grew Revenue 8%, Operating Profit 13% and Diluted EPS 20%</w:t>
      </w:r>
    </w:p>
    <w:p>
      <w:pPr>
        <w:spacing w:after="0" w:line="9" w:lineRule="exact"/>
        <w:rPr>
          <w:sz w:val="20"/>
          <w:szCs w:val="20"/>
          <w:color w:val="auto"/>
        </w:rPr>
      </w:pPr>
    </w:p>
    <w:p>
      <w:pPr>
        <w:jc w:val="center"/>
        <w:ind w:right="40"/>
        <w:spacing w:after="0" w:line="255" w:lineRule="auto"/>
        <w:rPr>
          <w:sz w:val="20"/>
          <w:szCs w:val="20"/>
          <w:color w:val="auto"/>
        </w:rPr>
      </w:pPr>
      <w:r>
        <w:rPr>
          <w:rFonts w:ascii="Times New Roman" w:cs="Times New Roman" w:eastAsia="Times New Roman" w:hAnsi="Times New Roman"/>
          <w:sz w:val="18"/>
          <w:szCs w:val="18"/>
          <w:color w:val="auto"/>
        </w:rPr>
        <w:t>15th Consecutive Quarter of Same-Store Transaction Growth; Year-over-Year Expansion in Both Restaurant and OP Margins Achieved Record Net New Store Openings in the First Nine Months, Raising 2026 Full-Year Target to Over 2,400 On Track to Return $1.5 Billion to Shareholders in 2026, ~10% of Current Market Capitalization</w:t>
      </w:r>
    </w:p>
    <w:p>
      <w:pPr>
        <w:spacing w:after="0" w:line="1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Shanghai, China (November 3, 2026) – Yum China Holdings, Inc. (the “Company” or “Yum China”) (NYSE: YUMC and HKEX: 9987) today reported unaudited results for the third quarter ended September 30,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Highlights</w:t>
      </w:r>
    </w:p>
    <w:p>
      <w:pPr>
        <w:spacing w:after="0" w:line="104"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system sales </w:t>
      </w:r>
      <w:r>
        <w:rPr>
          <w:rFonts w:ascii="Times New Roman" w:cs="Times New Roman" w:eastAsia="Times New Roman" w:hAnsi="Times New Roman"/>
          <w:sz w:val="18"/>
          <w:szCs w:val="18"/>
          <w:color w:val="auto"/>
        </w:rPr>
        <w:t>grew 3% year over year (“YoY”), excluding foreign currency translation (“F/X”).</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Same-store sales </w:t>
      </w:r>
      <w:r>
        <w:rPr>
          <w:rFonts w:ascii="Times New Roman" w:cs="Times New Roman" w:eastAsia="Times New Roman" w:hAnsi="Times New Roman"/>
          <w:sz w:val="18"/>
          <w:szCs w:val="18"/>
          <w:color w:val="auto"/>
        </w:rPr>
        <w:t>reached 97% of the prior year’s level. Same-store transactions grew 3% YoY, the 15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consecutive quarter of growth.</w:t>
      </w:r>
    </w:p>
    <w:p>
      <w:pPr>
        <w:spacing w:after="0" w:line="4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increased 8% YoY to $3.5 billion, or a 2% increase excluding F/X.</w:t>
      </w:r>
    </w:p>
    <w:p>
      <w:pPr>
        <w:spacing w:after="0" w:line="79"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Opened 692 </w:t>
      </w:r>
      <w:r>
        <w:rPr>
          <w:rFonts w:ascii="Times New Roman" w:cs="Times New Roman" w:eastAsia="Times New Roman" w:hAnsi="Times New Roman"/>
          <w:sz w:val="18"/>
          <w:szCs w:val="18"/>
          <w:b w:val="1"/>
          <w:bCs w:val="1"/>
          <w:color w:val="auto"/>
        </w:rPr>
        <w:t>net new stores</w:t>
      </w:r>
      <w:r>
        <w:rPr>
          <w:rFonts w:ascii="Times New Roman" w:cs="Times New Roman" w:eastAsia="Times New Roman" w:hAnsi="Times New Roman"/>
          <w:sz w:val="18"/>
          <w:szCs w:val="18"/>
          <w:color w:val="auto"/>
        </w:rPr>
        <w:t>, a quarterly record high, with 44% opened by franchisees. As of September 30, 2026, total store count reached 19,989, with 19% of stores operated by franchisees.</w:t>
      </w:r>
    </w:p>
    <w:p>
      <w:pPr>
        <w:spacing w:after="0" w:line="1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profit </w:t>
      </w:r>
      <w:r>
        <w:rPr>
          <w:rFonts w:ascii="Times New Roman" w:cs="Times New Roman" w:eastAsia="Times New Roman" w:hAnsi="Times New Roman"/>
          <w:sz w:val="18"/>
          <w:szCs w:val="18"/>
          <w:color w:val="auto"/>
        </w:rPr>
        <w:t>grew 13% YoY to $451 million.</w:t>
      </w:r>
      <w:r>
        <w:rPr>
          <w:rFonts w:ascii="Times New Roman" w:cs="Times New Roman" w:eastAsia="Times New Roman" w:hAnsi="Times New Roman"/>
          <w:sz w:val="18"/>
          <w:szCs w:val="18"/>
          <w:b w:val="1"/>
          <w:bCs w:val="1"/>
          <w:color w:val="auto"/>
        </w:rPr>
        <w:t xml:space="preserve"> Core operating profit </w:t>
      </w:r>
      <w:r>
        <w:rPr>
          <w:rFonts w:ascii="Times New Roman" w:cs="Times New Roman" w:eastAsia="Times New Roman" w:hAnsi="Times New Roman"/>
          <w:sz w:val="18"/>
          <w:szCs w:val="18"/>
          <w:color w:val="auto"/>
        </w:rPr>
        <w:t>grew 6% YoY.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 margin </w:t>
      </w:r>
      <w:r>
        <w:rPr>
          <w:rFonts w:ascii="Times New Roman" w:cs="Times New Roman" w:eastAsia="Times New Roman" w:hAnsi="Times New Roman"/>
          <w:sz w:val="18"/>
          <w:szCs w:val="18"/>
          <w:color w:val="auto"/>
        </w:rPr>
        <w:t>was 13.0%, an increase of 50 basis points YoY, the 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consecutive quarter of OP margin expansion.</w:t>
      </w:r>
    </w:p>
    <w:p>
      <w:pPr>
        <w:spacing w:after="0" w:line="51" w:lineRule="exact"/>
        <w:rPr>
          <w:rFonts w:ascii="Times New Roman" w:cs="Times New Roman" w:eastAsia="Times New Roman" w:hAnsi="Times New Roman"/>
          <w:sz w:val="18"/>
          <w:szCs w:val="18"/>
          <w:color w:val="auto"/>
        </w:rPr>
      </w:pPr>
    </w:p>
    <w:p>
      <w:pPr>
        <w:jc w:val="both"/>
        <w:ind w:left="1020" w:right="20" w:hanging="503"/>
        <w:spacing w:after="0" w:line="25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Restaurant margin </w:t>
      </w:r>
      <w:r>
        <w:rPr>
          <w:rFonts w:ascii="Times New Roman" w:cs="Times New Roman" w:eastAsia="Times New Roman" w:hAnsi="Times New Roman"/>
          <w:sz w:val="18"/>
          <w:szCs w:val="18"/>
          <w:color w:val="auto"/>
        </w:rPr>
        <w:t>was 17.8%, an increase of 50 basis points YoY, supported by streamlined operations and favorable commodity prices,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more than offset the impact of value-for-money offerings, sales deleveraging and increased rider cost from a higher delivery mix. Pizza Hut license fee savings also contributed to margin expansion.</w:t>
      </w:r>
    </w:p>
    <w:p>
      <w:pPr>
        <w:spacing w:after="0" w:line="58" w:lineRule="exact"/>
        <w:rPr>
          <w:rFonts w:ascii="Times New Roman" w:cs="Times New Roman" w:eastAsia="Times New Roman" w:hAnsi="Times New Roman"/>
          <w:sz w:val="18"/>
          <w:szCs w:val="18"/>
          <w:color w:val="auto"/>
        </w:rPr>
      </w:pPr>
    </w:p>
    <w:p>
      <w:pPr>
        <w:ind w:left="1020" w:hanging="503"/>
        <w:spacing w:after="0" w:line="225"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Diluted EPS </w:t>
      </w:r>
      <w:r>
        <w:rPr>
          <w:rFonts w:ascii="Times New Roman" w:cs="Times New Roman" w:eastAsia="Times New Roman" w:hAnsi="Times New Roman"/>
          <w:sz w:val="18"/>
          <w:szCs w:val="18"/>
          <w:color w:val="auto"/>
        </w:rPr>
        <w:t>increased 20% YoY to $0.91, or up 12% excluding F/X, and up 8% further excluding the impact</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mark-to-market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investments.</w:t>
      </w:r>
    </w:p>
    <w:p>
      <w:pPr>
        <w:spacing w:after="0" w:line="73" w:lineRule="exact"/>
        <w:rPr>
          <w:rFonts w:ascii="Times New Roman" w:cs="Times New Roman" w:eastAsia="Times New Roman" w:hAnsi="Times New Roman"/>
          <w:sz w:val="18"/>
          <w:szCs w:val="18"/>
          <w:color w:val="auto"/>
        </w:rPr>
      </w:pPr>
    </w:p>
    <w:p>
      <w:pPr>
        <w:ind w:left="1020" w:right="20" w:hanging="503"/>
        <w:spacing w:after="0" w:line="28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Returned $362 million to shareholders in the third quarter through $263 million in </w:t>
      </w:r>
      <w:r>
        <w:rPr>
          <w:rFonts w:ascii="Times New Roman" w:cs="Times New Roman" w:eastAsia="Times New Roman" w:hAnsi="Times New Roman"/>
          <w:sz w:val="18"/>
          <w:szCs w:val="18"/>
          <w:b w:val="1"/>
          <w:bCs w:val="1"/>
          <w:color w:val="auto"/>
        </w:rPr>
        <w:t>share repurchases</w:t>
      </w:r>
      <w:r>
        <w:rPr>
          <w:rFonts w:ascii="Times New Roman" w:cs="Times New Roman" w:eastAsia="Times New Roman" w:hAnsi="Times New Roman"/>
          <w:sz w:val="18"/>
          <w:szCs w:val="18"/>
          <w:color w:val="auto"/>
        </w:rPr>
        <w:t xml:space="preserve"> and $99 million in </w:t>
      </w:r>
      <w:r>
        <w:rPr>
          <w:rFonts w:ascii="Times New Roman" w:cs="Times New Roman" w:eastAsia="Times New Roman" w:hAnsi="Times New Roman"/>
          <w:sz w:val="18"/>
          <w:szCs w:val="18"/>
          <w:b w:val="1"/>
          <w:bCs w:val="1"/>
          <w:color w:val="auto"/>
        </w:rPr>
        <w:t>cash dividends</w:t>
      </w:r>
      <w:r>
        <w:rPr>
          <w:rFonts w:ascii="Times New Roman" w:cs="Times New Roman" w:eastAsia="Times New Roman" w:hAnsi="Times New Roman"/>
          <w:sz w:val="18"/>
          <w:szCs w:val="18"/>
          <w:color w:val="auto"/>
        </w:rPr>
        <w:t>. In the first nine months of 2026, the Company returned $1,080 million to shareholders.</w:t>
      </w:r>
    </w:p>
    <w:p>
      <w:pPr>
        <w:spacing w:after="0" w:line="33"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Delivery sales </w:t>
      </w:r>
      <w:r>
        <w:rPr>
          <w:rFonts w:ascii="Times New Roman" w:cs="Times New Roman" w:eastAsia="Times New Roman" w:hAnsi="Times New Roman"/>
          <w:sz w:val="18"/>
          <w:szCs w:val="18"/>
          <w:color w:val="auto"/>
        </w:rPr>
        <w:t>grew 7% YoY. Delivery contributed approximately 54% of total Company sales, up from 51% in the same quarter last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same as the prior quarter.</w:t>
      </w:r>
    </w:p>
    <w:p>
      <w:pPr>
        <w:spacing w:after="0" w:line="19"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Active Members </w:t>
      </w:r>
      <w:r>
        <w:rPr>
          <w:rFonts w:ascii="Times New Roman" w:cs="Times New Roman" w:eastAsia="Times New Roman" w:hAnsi="Times New Roman"/>
          <w:sz w:val="18"/>
          <w:szCs w:val="18"/>
          <w:color w:val="auto"/>
        </w:rPr>
        <w:t>of KFC or Pizza Hut, defined as those who transacted in the past 12 months, exceeded 278 million, representing a 6% YoY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w:t>
      </w:r>
    </w:p>
    <w:p>
      <w:pPr>
        <w:spacing w:after="0" w:line="3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Completed the acquisition of the </w:t>
      </w:r>
      <w:r>
        <w:rPr>
          <w:rFonts w:ascii="Times New Roman" w:cs="Times New Roman" w:eastAsia="Times New Roman" w:hAnsi="Times New Roman"/>
          <w:sz w:val="18"/>
          <w:szCs w:val="18"/>
          <w:b w:val="1"/>
          <w:bCs w:val="1"/>
          <w:color w:val="auto"/>
        </w:rPr>
        <w:t>Pizza Hut brand</w:t>
      </w:r>
      <w:r>
        <w:rPr>
          <w:rFonts w:ascii="Times New Roman" w:cs="Times New Roman" w:eastAsia="Times New Roman" w:hAnsi="Times New Roman"/>
          <w:sz w:val="18"/>
          <w:szCs w:val="18"/>
          <w:color w:val="auto"/>
        </w:rPr>
        <w:t xml:space="preserve"> in Mainland China on August 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Comments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Joey Wat, CEO of Yum China, commented, </w:t>
      </w:r>
      <w:r>
        <w:rPr>
          <w:rFonts w:ascii="Times New Roman" w:cs="Times New Roman" w:eastAsia="Times New Roman" w:hAnsi="Times New Roman"/>
          <w:sz w:val="18"/>
          <w:szCs w:val="18"/>
          <w:color w:val="080808"/>
        </w:rPr>
        <w:t>“</w:t>
      </w:r>
      <w:r>
        <w:rPr>
          <w:rFonts w:ascii="Times New Roman" w:cs="Times New Roman" w:eastAsia="Times New Roman" w:hAnsi="Times New Roman"/>
          <w:sz w:val="18"/>
          <w:szCs w:val="18"/>
          <w:color w:val="auto"/>
        </w:rPr>
        <w:t xml:space="preserve">We delivered year-over-year growth in system sales, operating profit and OP margin for the 10th consecutive quarter, despite a dynamic operating environment. Importantly, our diluted EPS has grown by double digits year-to-date and in each of the past three years, excluding the impact of mark-to-market equity investments and foreign exchange. These results demonstrate the resilience of our business model, disciplined execution, and our commitment to delivering sustainable value to shareholders. Same-store sales faced pressure from tough comparisons against last year’s delivery platform subsidies and adverse weather in August. </w:t>
      </w:r>
      <w:r>
        <w:rPr>
          <w:rFonts w:ascii="Times New Roman" w:cs="Times New Roman" w:eastAsia="Times New Roman" w:hAnsi="Times New Roman"/>
          <w:sz w:val="18"/>
          <w:szCs w:val="18"/>
          <w:color w:val="080808"/>
        </w:rPr>
        <w:t>We captured incremental demand across a broader range of consumption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80808"/>
        </w:rPr>
        <w:t xml:space="preserve">occasions such as smaller orders and solo dining, </w:t>
      </w:r>
      <w:r>
        <w:rPr>
          <w:rFonts w:ascii="Times New Roman" w:cs="Times New Roman" w:eastAsia="Times New Roman" w:hAnsi="Times New Roman"/>
          <w:sz w:val="18"/>
          <w:szCs w:val="18"/>
          <w:color w:val="000000"/>
        </w:rPr>
        <w:t>and grew same-store transactions for the 15th consecutive quarter. To pursue significant opportunities in</w:t>
      </w:r>
      <w:r>
        <w:rPr>
          <w:rFonts w:ascii="Times New Roman" w:cs="Times New Roman" w:eastAsia="Times New Roman" w:hAnsi="Times New Roman"/>
          <w:sz w:val="18"/>
          <w:szCs w:val="18"/>
          <w:color w:val="080808"/>
        </w:rPr>
        <w:t xml:space="preserve"> </w:t>
      </w:r>
      <w:r>
        <w:rPr>
          <w:rFonts w:ascii="Times New Roman" w:cs="Times New Roman" w:eastAsia="Times New Roman" w:hAnsi="Times New Roman"/>
          <w:sz w:val="18"/>
          <w:szCs w:val="18"/>
          <w:color w:val="000000"/>
        </w:rPr>
        <w:t>China, we accelerated store openings across Company-owned and franchise stores, leveraging our tailored store formats and menus and keeping us on track to surpass 20,500 stores this year.</w:t>
      </w:r>
      <w:r>
        <w:rPr>
          <w:rFonts w:ascii="Times New Roman" w:cs="Times New Roman" w:eastAsia="Times New Roman" w:hAnsi="Times New Roman"/>
          <w:sz w:val="18"/>
          <w:szCs w:val="18"/>
          <w:color w:val="080808"/>
        </w:rPr>
        <w:t>”</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Wat continued, “We continue to build our brand and attract more customers to our stores through compelling in-store-only offers and experience, and greater takeaway convenience. Dine-in and takeaway performance improved sequentially, bucking the previous trend. Meanwhile, our side-by-side modules, which target new occasions and drive incremental sales and profit, maintained strong momentum and hit key milestones. KCOFFEE cafes crossed 4,000 locations, KPRO exceeded 700 locations, and Pizza Hut’s Burger Bar surpassed 300 locations. We are also expanding car-side pickup to drive takeaway, now covering over 9,000 KFC locations. As for our core menu, we continue to innovate around hero products to drive repeat purchases and attract new customers. Together, these growth drivers reinforce our confidence in sustainable growth. Looking ahead, on a three-year basis, we remain committed to the growth algorithm we outlined at our Investor Day.”</w:t>
      </w:r>
    </w:p>
    <w:p>
      <w:pPr>
        <w:spacing w:after="0" w:line="175" w:lineRule="exact"/>
        <w:rPr>
          <w:sz w:val="20"/>
          <w:szCs w:val="20"/>
          <w:color w:val="auto"/>
        </w:rPr>
      </w:pPr>
    </w:p>
    <w:p>
      <w:pPr>
        <w:ind w:left="80" w:hanging="72"/>
        <w:spacing w:after="0"/>
        <w:tabs>
          <w:tab w:leader="none" w:pos="80"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Refers to a 6-cent favorable F/X impact in this quarter and a mark-to-market loss of 2 cents in the third quarter of 2025.</w:t>
      </w:r>
    </w:p>
    <w:p>
      <w:pPr>
        <w:sectPr>
          <w:pgSz w:w="11900" w:h="16838" w:orient="portrait"/>
          <w:cols w:equalWidth="0" w:num="1">
            <w:col w:w="11240"/>
          </w:cols>
          <w:pgMar w:left="320" w:top="374" w:right="3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413385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Key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4578350</wp:posOffset>
            </wp:positionH>
            <wp:positionV relativeFrom="paragraph">
              <wp:posOffset>67310</wp:posOffset>
            </wp:positionV>
            <wp:extent cx="33655" cy="4711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71170"/>
                    </a:xfrm>
                    <a:prstGeom prst="rect">
                      <a:avLst/>
                    </a:prstGeom>
                    <a:noFill/>
                  </pic:spPr>
                </pic:pic>
              </a:graphicData>
            </a:graphic>
          </wp:anchor>
        </w:drawing>
      </w:r>
    </w:p>
    <w:p>
      <w:pPr>
        <w:spacing w:after="0" w:line="8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040" w:type="dxa"/>
            <w:vAlign w:val="bottom"/>
            <w:tcBorders>
              <w:top w:val="single" w:sz="8" w:color="auto"/>
              <w:left w:val="single" w:sz="8" w:color="auto"/>
              <w:right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2000" w:type="dxa"/>
            <w:vAlign w:val="bottom"/>
            <w:tcBorders>
              <w:top w:val="single" w:sz="8" w:color="auto"/>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Third Quarter</w:t>
            </w:r>
          </w:p>
        </w:tc>
        <w:tc>
          <w:tcPr>
            <w:tcW w:w="1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20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to Date Ended 9/30</w:t>
            </w: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40" w:type="dxa"/>
            <w:vAlign w:val="bottom"/>
            <w:tcBorders>
              <w:left w:val="single" w:sz="8" w:color="auto"/>
              <w:right w:val="single" w:sz="8" w:color="auto"/>
            </w:tcBorders>
          </w:tcPr>
          <w:p>
            <w:pPr>
              <w:spacing w:after="0"/>
              <w:rPr>
                <w:sz w:val="18"/>
                <w:szCs w:val="18"/>
                <w:color w:val="auto"/>
              </w:rPr>
            </w:pPr>
          </w:p>
        </w:tc>
        <w:tc>
          <w:tcPr>
            <w:tcW w:w="104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9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198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%/ppts Change</w:t>
            </w:r>
          </w:p>
        </w:tc>
        <w:tc>
          <w:tcPr>
            <w:tcW w:w="1120" w:type="dxa"/>
            <w:vAlign w:val="bottom"/>
            <w:gridSpan w:val="3"/>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0" w:type="dxa"/>
            <w:vAlign w:val="bottom"/>
            <w:gridSpan w:val="2"/>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1920" w:type="dxa"/>
            <w:vAlign w:val="bottom"/>
            <w:tcBorders>
              <w:bottom w:val="single" w:sz="8" w:color="auto"/>
              <w:right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%/ppts Change</w:t>
            </w:r>
          </w:p>
        </w:tc>
        <w:tc>
          <w:tcPr>
            <w:tcW w:w="0" w:type="dxa"/>
            <w:vAlign w:val="bottom"/>
          </w:tcPr>
          <w:p>
            <w:pPr>
              <w:spacing w:after="0"/>
              <w:rPr>
                <w:sz w:val="1"/>
                <w:szCs w:val="1"/>
                <w:color w:val="auto"/>
              </w:rPr>
            </w:pPr>
          </w:p>
        </w:tc>
      </w:tr>
      <w:tr>
        <w:trPr>
          <w:trHeight w:val="209"/>
        </w:trPr>
        <w:tc>
          <w:tcPr>
            <w:tcW w:w="30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System Sales Growth </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w:t>
            </w:r>
          </w:p>
        </w:tc>
        <w:tc>
          <w:tcPr>
            <w:tcW w:w="104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20" w:type="dxa"/>
            <w:vAlign w:val="bottom"/>
          </w:tcPr>
          <w:p>
            <w:pPr>
              <w:spacing w:after="0"/>
              <w:rPr>
                <w:sz w:val="18"/>
                <w:szCs w:val="18"/>
                <w:color w:val="auto"/>
              </w:rPr>
            </w:pP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Ex F/X</w:t>
            </w:r>
          </w:p>
        </w:tc>
        <w:tc>
          <w:tcPr>
            <w:tcW w:w="1120" w:type="dxa"/>
            <w:vAlign w:val="bottom"/>
            <w:gridSpan w:val="3"/>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00" w:type="dxa"/>
            <w:vAlign w:val="bottom"/>
          </w:tcPr>
          <w:p>
            <w:pPr>
              <w:spacing w:after="0"/>
              <w:rPr>
                <w:sz w:val="18"/>
                <w:szCs w:val="18"/>
                <w:color w:val="auto"/>
              </w:rPr>
            </w:pPr>
          </w:p>
        </w:tc>
        <w:tc>
          <w:tcPr>
            <w:tcW w:w="88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Ex F/X</w:t>
            </w:r>
          </w:p>
        </w:tc>
        <w:tc>
          <w:tcPr>
            <w:tcW w:w="0" w:type="dxa"/>
            <w:vAlign w:val="bottom"/>
          </w:tcPr>
          <w:p>
            <w:pPr>
              <w:spacing w:after="0"/>
              <w:rPr>
                <w:sz w:val="1"/>
                <w:szCs w:val="1"/>
                <w:color w:val="auto"/>
              </w:rPr>
            </w:pPr>
          </w:p>
        </w:tc>
      </w:tr>
      <w:tr>
        <w:trPr>
          <w:trHeight w:val="171"/>
        </w:trPr>
        <w:tc>
          <w:tcPr>
            <w:tcW w:w="3040" w:type="dxa"/>
            <w:vAlign w:val="bottom"/>
            <w:tcBorders>
              <w:left w:val="single" w:sz="8" w:color="auto"/>
              <w:right w:val="single" w:sz="8" w:color="auto"/>
            </w:tcBorders>
            <w:vMerge w:val="continue"/>
          </w:tcPr>
          <w:p>
            <w:pPr>
              <w:spacing w:after="0"/>
              <w:rPr>
                <w:sz w:val="14"/>
                <w:szCs w:val="14"/>
                <w:color w:val="auto"/>
              </w:rPr>
            </w:pPr>
          </w:p>
        </w:tc>
        <w:tc>
          <w:tcPr>
            <w:tcW w:w="1040" w:type="dxa"/>
            <w:vAlign w:val="bottom"/>
            <w:tcBorders>
              <w:top w:val="single" w:sz="8" w:color="auto"/>
            </w:tcBorders>
          </w:tcPr>
          <w:p>
            <w:pPr>
              <w:jc w:val="right"/>
              <w:ind w:right="170"/>
              <w:spacing w:after="0" w:line="171" w:lineRule="exact"/>
              <w:rPr>
                <w:sz w:val="20"/>
                <w:szCs w:val="20"/>
                <w:color w:val="auto"/>
              </w:rPr>
            </w:pPr>
            <w:r>
              <w:rPr>
                <w:rFonts w:ascii="Times New Roman" w:cs="Times New Roman" w:eastAsia="Times New Roman" w:hAnsi="Times New Roman"/>
                <w:sz w:val="18"/>
                <w:szCs w:val="18"/>
                <w:color w:val="auto"/>
              </w:rPr>
              <w:t>3</w:t>
            </w:r>
          </w:p>
        </w:tc>
        <w:tc>
          <w:tcPr>
            <w:tcW w:w="900" w:type="dxa"/>
            <w:vAlign w:val="bottom"/>
            <w:tcBorders>
              <w:top w:val="single" w:sz="8" w:color="auto"/>
            </w:tcBorders>
          </w:tcPr>
          <w:p>
            <w:pPr>
              <w:jc w:val="right"/>
              <w:ind w:right="30"/>
              <w:spacing w:after="0" w:line="171" w:lineRule="exact"/>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4"/>
                <w:szCs w:val="14"/>
                <w:color w:val="auto"/>
              </w:rPr>
            </w:pPr>
          </w:p>
        </w:tc>
        <w:tc>
          <w:tcPr>
            <w:tcW w:w="960" w:type="dxa"/>
            <w:vAlign w:val="bottom"/>
            <w:tcBorders>
              <w:top w:val="single" w:sz="8" w:color="auto"/>
            </w:tcBorders>
          </w:tcPr>
          <w:p>
            <w:pPr>
              <w:jc w:val="right"/>
              <w:ind w:right="50"/>
              <w:spacing w:after="0" w:line="171" w:lineRule="exact"/>
              <w:rPr>
                <w:sz w:val="20"/>
                <w:szCs w:val="20"/>
                <w:color w:val="auto"/>
              </w:rPr>
            </w:pPr>
            <w:r>
              <w:rPr>
                <w:rFonts w:ascii="Times New Roman" w:cs="Times New Roman" w:eastAsia="Times New Roman" w:hAnsi="Times New Roman"/>
                <w:sz w:val="18"/>
                <w:szCs w:val="18"/>
                <w:color w:val="auto"/>
              </w:rPr>
              <w:t>NM</w:t>
            </w:r>
          </w:p>
        </w:tc>
        <w:tc>
          <w:tcPr>
            <w:tcW w:w="120" w:type="dxa"/>
            <w:vAlign w:val="bottom"/>
          </w:tcPr>
          <w:p>
            <w:pPr>
              <w:spacing w:after="0"/>
              <w:rPr>
                <w:sz w:val="14"/>
                <w:szCs w:val="14"/>
                <w:color w:val="auto"/>
              </w:rPr>
            </w:pPr>
          </w:p>
        </w:tc>
        <w:tc>
          <w:tcPr>
            <w:tcW w:w="900" w:type="dxa"/>
            <w:vAlign w:val="bottom"/>
            <w:tcBorders>
              <w:top w:val="single" w:sz="8" w:color="auto"/>
            </w:tcBorders>
          </w:tcPr>
          <w:p>
            <w:pPr>
              <w:jc w:val="right"/>
              <w:ind w:right="30"/>
              <w:spacing w:after="0" w:line="171" w:lineRule="exact"/>
              <w:rPr>
                <w:sz w:val="20"/>
                <w:szCs w:val="20"/>
                <w:color w:val="auto"/>
              </w:rPr>
            </w:pPr>
            <w:r>
              <w:rPr>
                <w:rFonts w:ascii="Times New Roman" w:cs="Times New Roman" w:eastAsia="Times New Roman" w:hAnsi="Times New Roman"/>
                <w:sz w:val="18"/>
                <w:szCs w:val="18"/>
                <w:color w:val="auto"/>
              </w:rPr>
              <w:t>NM</w:t>
            </w: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top w:val="single" w:sz="8" w:color="auto"/>
            </w:tcBorders>
          </w:tcPr>
          <w:p>
            <w:pPr>
              <w:jc w:val="right"/>
              <w:ind w:right="30"/>
              <w:spacing w:after="0" w:line="171" w:lineRule="exact"/>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4"/>
                <w:szCs w:val="14"/>
                <w:color w:val="auto"/>
              </w:rPr>
            </w:pPr>
          </w:p>
        </w:tc>
        <w:tc>
          <w:tcPr>
            <w:tcW w:w="880" w:type="dxa"/>
            <w:vAlign w:val="bottom"/>
            <w:tcBorders>
              <w:top w:val="single" w:sz="8" w:color="auto"/>
            </w:tcBorders>
          </w:tcPr>
          <w:p>
            <w:pPr>
              <w:jc w:val="right"/>
              <w:ind w:right="30"/>
              <w:spacing w:after="0" w:line="171"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4"/>
                <w:szCs w:val="14"/>
                <w:color w:val="auto"/>
              </w:rPr>
            </w:pPr>
          </w:p>
        </w:tc>
        <w:tc>
          <w:tcPr>
            <w:tcW w:w="940" w:type="dxa"/>
            <w:vAlign w:val="bottom"/>
            <w:tcBorders>
              <w:top w:val="single" w:sz="8" w:color="auto"/>
            </w:tcBorders>
          </w:tcPr>
          <w:p>
            <w:pPr>
              <w:jc w:val="right"/>
              <w:ind w:right="30"/>
              <w:spacing w:after="0" w:line="171" w:lineRule="exact"/>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14"/>
                <w:szCs w:val="14"/>
                <w:color w:val="auto"/>
              </w:rPr>
            </w:pPr>
          </w:p>
        </w:tc>
        <w:tc>
          <w:tcPr>
            <w:tcW w:w="880" w:type="dxa"/>
            <w:vAlign w:val="bottom"/>
            <w:tcBorders>
              <w:top w:val="single" w:sz="8" w:color="auto"/>
              <w:right w:val="single" w:sz="8" w:color="auto"/>
            </w:tcBorders>
          </w:tcPr>
          <w:p>
            <w:pPr>
              <w:jc w:val="right"/>
              <w:ind w:right="30"/>
              <w:spacing w:after="0" w:line="171" w:lineRule="exact"/>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6"/>
        </w:trPr>
        <w:tc>
          <w:tcPr>
            <w:tcW w:w="3040" w:type="dxa"/>
            <w:vAlign w:val="bottom"/>
            <w:tcBorders>
              <w:left w:val="single" w:sz="8" w:color="auto"/>
              <w:right w:val="single" w:sz="8" w:color="auto"/>
            </w:tcBorders>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Same-Store Sales Growth </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160" w:type="dxa"/>
            <w:vAlign w:val="bottom"/>
            <w:tcBorders>
              <w:right w:val="single" w:sz="8" w:color="auto"/>
            </w:tcBorders>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20"/>
                <w:szCs w:val="20"/>
                <w:color w:val="auto"/>
              </w:rPr>
            </w:pPr>
          </w:p>
        </w:tc>
        <w:tc>
          <w:tcPr>
            <w:tcW w:w="8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96"/>
        </w:trPr>
        <w:tc>
          <w:tcPr>
            <w:tcW w:w="3040" w:type="dxa"/>
            <w:vAlign w:val="bottom"/>
            <w:tcBorders>
              <w:left w:val="single" w:sz="8" w:color="auto"/>
              <w:right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Operating Profit ($mn)</w:t>
            </w:r>
          </w:p>
        </w:tc>
        <w:tc>
          <w:tcPr>
            <w:tcW w:w="104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451</w:t>
            </w:r>
          </w:p>
        </w:tc>
        <w:tc>
          <w:tcPr>
            <w:tcW w:w="90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400</w:t>
            </w:r>
          </w:p>
        </w:tc>
        <w:tc>
          <w:tcPr>
            <w:tcW w:w="140" w:type="dxa"/>
            <w:vAlign w:val="bottom"/>
          </w:tcPr>
          <w:p>
            <w:pPr>
              <w:spacing w:after="0"/>
              <w:rPr>
                <w:sz w:val="17"/>
                <w:szCs w:val="17"/>
                <w:color w:val="auto"/>
              </w:rPr>
            </w:pPr>
          </w:p>
        </w:tc>
        <w:tc>
          <w:tcPr>
            <w:tcW w:w="96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1020" w:type="dxa"/>
            <w:vAlign w:val="bottom"/>
            <w:gridSpan w:val="2"/>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right w:val="single" w:sz="8" w:color="auto"/>
            </w:tcBorders>
          </w:tcPr>
          <w:p>
            <w:pPr>
              <w:spacing w:after="0"/>
              <w:rPr>
                <w:sz w:val="17"/>
                <w:szCs w:val="17"/>
                <w:color w:val="auto"/>
              </w:rPr>
            </w:pPr>
          </w:p>
        </w:tc>
        <w:tc>
          <w:tcPr>
            <w:tcW w:w="960" w:type="dxa"/>
            <w:vAlign w:val="bottom"/>
            <w:gridSpan w:val="2"/>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1,246</w:t>
            </w:r>
          </w:p>
        </w:tc>
        <w:tc>
          <w:tcPr>
            <w:tcW w:w="1000" w:type="dxa"/>
            <w:vAlign w:val="bottom"/>
            <w:gridSpan w:val="2"/>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1,103</w:t>
            </w:r>
          </w:p>
        </w:tc>
        <w:tc>
          <w:tcPr>
            <w:tcW w:w="100" w:type="dxa"/>
            <w:vAlign w:val="bottom"/>
          </w:tcPr>
          <w:p>
            <w:pPr>
              <w:spacing w:after="0"/>
              <w:rPr>
                <w:sz w:val="17"/>
                <w:szCs w:val="17"/>
                <w:color w:val="auto"/>
              </w:rPr>
            </w:pPr>
          </w:p>
        </w:tc>
        <w:tc>
          <w:tcPr>
            <w:tcW w:w="94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980" w:type="dxa"/>
            <w:vAlign w:val="bottom"/>
            <w:tcBorders>
              <w:right w:val="single" w:sz="8" w:color="auto"/>
            </w:tcBorders>
            <w:gridSpan w:val="2"/>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3040" w:type="dxa"/>
            <w:vAlign w:val="bottom"/>
            <w:tcBorders>
              <w:left w:val="single" w:sz="8" w:color="auto"/>
              <w:right w:val="single" w:sz="8" w:color="auto"/>
            </w:tcBorders>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Adjusted Operating Profit </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8"/>
                <w:szCs w:val="18"/>
                <w:color w:val="auto"/>
              </w:rPr>
              <w:t xml:space="preserve"> ($mn)</w:t>
            </w: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451</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400</w:t>
            </w:r>
          </w:p>
        </w:tc>
        <w:tc>
          <w:tcPr>
            <w:tcW w:w="1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right w:val="single" w:sz="8" w:color="auto"/>
            </w:tcBorders>
          </w:tcPr>
          <w:p>
            <w:pPr>
              <w:spacing w:after="0"/>
              <w:rPr>
                <w:sz w:val="18"/>
                <w:szCs w:val="18"/>
                <w:color w:val="auto"/>
              </w:rPr>
            </w:pP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1,246</w:t>
            </w: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980" w:type="dxa"/>
            <w:vAlign w:val="bottom"/>
            <w:tcBorders>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3040" w:type="dxa"/>
            <w:vAlign w:val="bottom"/>
            <w:tcBorders>
              <w:left w:val="single" w:sz="8" w:color="auto"/>
              <w:right w:val="single" w:sz="8" w:color="auto"/>
            </w:tcBorders>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Core Operating Profit </w:t>
            </w:r>
            <w:r>
              <w:rPr>
                <w:rFonts w:ascii="Times New Roman" w:cs="Times New Roman" w:eastAsia="Times New Roman" w:hAnsi="Times New Roman"/>
                <w:sz w:val="24"/>
                <w:szCs w:val="24"/>
                <w:color w:val="auto"/>
                <w:vertAlign w:val="superscript"/>
              </w:rPr>
              <w:t>(3) (4)</w:t>
            </w:r>
            <w:r>
              <w:rPr>
                <w:rFonts w:ascii="Times New Roman" w:cs="Times New Roman" w:eastAsia="Times New Roman" w:hAnsi="Times New Roman"/>
                <w:sz w:val="18"/>
                <w:szCs w:val="18"/>
                <w:color w:val="auto"/>
              </w:rPr>
              <w:t xml:space="preserve"> ($mn)</w:t>
            </w: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423</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400</w:t>
            </w:r>
          </w:p>
        </w:tc>
        <w:tc>
          <w:tcPr>
            <w:tcW w:w="1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NM</w:t>
            </w: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right w:val="single" w:sz="8" w:color="auto"/>
            </w:tcBorders>
          </w:tcPr>
          <w:p>
            <w:pPr>
              <w:spacing w:after="0"/>
              <w:rPr>
                <w:sz w:val="18"/>
                <w:szCs w:val="18"/>
                <w:color w:val="auto"/>
              </w:rPr>
            </w:pP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1,174</w:t>
            </w: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980" w:type="dxa"/>
            <w:vAlign w:val="bottom"/>
            <w:tcBorders>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3040" w:type="dxa"/>
            <w:vAlign w:val="bottom"/>
            <w:tcBorders>
              <w:left w:val="single" w:sz="8" w:color="auto"/>
              <w:right w:val="single" w:sz="8" w:color="auto"/>
            </w:tcBorders>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OP Margin </w:t>
            </w:r>
            <w:r>
              <w:rPr>
                <w:rFonts w:ascii="Times New Roman" w:cs="Times New Roman" w:eastAsia="Times New Roman" w:hAnsi="Times New Roman"/>
                <w:sz w:val="24"/>
                <w:szCs w:val="24"/>
                <w:color w:val="auto"/>
                <w:vertAlign w:val="superscript"/>
              </w:rPr>
              <w:t>(5)</w:t>
            </w:r>
            <w:r>
              <w:rPr>
                <w:rFonts w:ascii="Times New Roman" w:cs="Times New Roman" w:eastAsia="Times New Roman" w:hAnsi="Times New Roman"/>
                <w:sz w:val="18"/>
                <w:szCs w:val="18"/>
                <w:color w:val="auto"/>
              </w:rPr>
              <w:t xml:space="preserve"> (%)</w:t>
            </w: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13.0</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+0.5</w:t>
            </w: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Borders>
              <w:right w:val="single" w:sz="8" w:color="auto"/>
            </w:tcBorders>
          </w:tcPr>
          <w:p>
            <w:pPr>
              <w:spacing w:after="0"/>
              <w:rPr>
                <w:sz w:val="18"/>
                <w:szCs w:val="18"/>
                <w:color w:val="auto"/>
              </w:rPr>
            </w:pP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980" w:type="dxa"/>
            <w:vAlign w:val="bottom"/>
            <w:tcBorders>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6"/>
        </w:trPr>
        <w:tc>
          <w:tcPr>
            <w:tcW w:w="3040" w:type="dxa"/>
            <w:vAlign w:val="bottom"/>
            <w:tcBorders>
              <w:left w:val="single" w:sz="8" w:color="auto"/>
              <w:right w:val="single" w:sz="8" w:color="auto"/>
            </w:tcBorders>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Core OP Margin </w:t>
            </w:r>
            <w:r>
              <w:rPr>
                <w:rFonts w:ascii="Times New Roman" w:cs="Times New Roman" w:eastAsia="Times New Roman" w:hAnsi="Times New Roman"/>
                <w:sz w:val="24"/>
                <w:szCs w:val="24"/>
                <w:color w:val="auto"/>
                <w:vertAlign w:val="superscript"/>
              </w:rPr>
              <w:t>(3) (6)</w:t>
            </w:r>
            <w:r>
              <w:rPr>
                <w:rFonts w:ascii="Times New Roman" w:cs="Times New Roman" w:eastAsia="Times New Roman" w:hAnsi="Times New Roman"/>
                <w:sz w:val="18"/>
                <w:szCs w:val="18"/>
                <w:color w:val="auto"/>
              </w:rPr>
              <w:t xml:space="preserve"> (%)</w:t>
            </w: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12.9</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NM</w:t>
            </w: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Borders>
              <w:right w:val="single" w:sz="8" w:color="auto"/>
            </w:tcBorders>
          </w:tcPr>
          <w:p>
            <w:pPr>
              <w:spacing w:after="0"/>
              <w:rPr>
                <w:sz w:val="20"/>
                <w:szCs w:val="20"/>
                <w:color w:val="auto"/>
              </w:rPr>
            </w:pP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980" w:type="dxa"/>
            <w:vAlign w:val="bottom"/>
            <w:tcBorders>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196"/>
        </w:trPr>
        <w:tc>
          <w:tcPr>
            <w:tcW w:w="3040" w:type="dxa"/>
            <w:vAlign w:val="bottom"/>
            <w:tcBorders>
              <w:left w:val="single" w:sz="8" w:color="auto"/>
              <w:right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($mn)</w:t>
            </w:r>
          </w:p>
        </w:tc>
        <w:tc>
          <w:tcPr>
            <w:tcW w:w="104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90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282</w:t>
            </w:r>
          </w:p>
        </w:tc>
        <w:tc>
          <w:tcPr>
            <w:tcW w:w="140" w:type="dxa"/>
            <w:vAlign w:val="bottom"/>
          </w:tcPr>
          <w:p>
            <w:pPr>
              <w:spacing w:after="0"/>
              <w:rPr>
                <w:sz w:val="17"/>
                <w:szCs w:val="17"/>
                <w:color w:val="auto"/>
              </w:rPr>
            </w:pPr>
          </w:p>
        </w:tc>
        <w:tc>
          <w:tcPr>
            <w:tcW w:w="96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1020" w:type="dxa"/>
            <w:vAlign w:val="bottom"/>
            <w:gridSpan w:val="2"/>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right w:val="single" w:sz="8" w:color="auto"/>
            </w:tcBorders>
          </w:tcPr>
          <w:p>
            <w:pPr>
              <w:spacing w:after="0"/>
              <w:rPr>
                <w:sz w:val="17"/>
                <w:szCs w:val="17"/>
                <w:color w:val="auto"/>
              </w:rPr>
            </w:pPr>
          </w:p>
        </w:tc>
        <w:tc>
          <w:tcPr>
            <w:tcW w:w="960" w:type="dxa"/>
            <w:vAlign w:val="bottom"/>
            <w:gridSpan w:val="2"/>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864</w:t>
            </w:r>
          </w:p>
        </w:tc>
        <w:tc>
          <w:tcPr>
            <w:tcW w:w="1000" w:type="dxa"/>
            <w:vAlign w:val="bottom"/>
            <w:gridSpan w:val="2"/>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789</w:t>
            </w:r>
          </w:p>
        </w:tc>
        <w:tc>
          <w:tcPr>
            <w:tcW w:w="100" w:type="dxa"/>
            <w:vAlign w:val="bottom"/>
          </w:tcPr>
          <w:p>
            <w:pPr>
              <w:spacing w:after="0"/>
              <w:rPr>
                <w:sz w:val="17"/>
                <w:szCs w:val="17"/>
                <w:color w:val="auto"/>
              </w:rPr>
            </w:pPr>
          </w:p>
        </w:tc>
        <w:tc>
          <w:tcPr>
            <w:tcW w:w="94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980" w:type="dxa"/>
            <w:vAlign w:val="bottom"/>
            <w:tcBorders>
              <w:right w:val="single" w:sz="8" w:color="auto"/>
            </w:tcBorders>
            <w:gridSpan w:val="2"/>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6"/>
        </w:trPr>
        <w:tc>
          <w:tcPr>
            <w:tcW w:w="3040" w:type="dxa"/>
            <w:vAlign w:val="bottom"/>
            <w:tcBorders>
              <w:left w:val="single" w:sz="8" w:color="auto"/>
              <w:right w:val="single" w:sz="8" w:color="auto"/>
            </w:tcBorders>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Adjusted Net Income </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8"/>
                <w:szCs w:val="18"/>
                <w:color w:val="auto"/>
              </w:rPr>
              <w:t xml:space="preserve"> ($mn)</w:t>
            </w: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311</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282</w:t>
            </w:r>
          </w:p>
        </w:tc>
        <w:tc>
          <w:tcPr>
            <w:tcW w:w="14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right w:val="single" w:sz="8" w:color="auto"/>
            </w:tcBorders>
          </w:tcPr>
          <w:p>
            <w:pPr>
              <w:spacing w:after="0"/>
              <w:rPr>
                <w:sz w:val="20"/>
                <w:szCs w:val="20"/>
                <w:color w:val="auto"/>
              </w:rPr>
            </w:pP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864</w:t>
            </w: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980" w:type="dxa"/>
            <w:vAlign w:val="bottom"/>
            <w:tcBorders>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0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Earnings</w:t>
            </w: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Per Common Share ($)</w:t>
            </w: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0.91</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0.76</w:t>
            </w:r>
          </w:p>
        </w:tc>
        <w:tc>
          <w:tcPr>
            <w:tcW w:w="14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right w:val="single" w:sz="8" w:color="auto"/>
            </w:tcBorders>
          </w:tcPr>
          <w:p>
            <w:pPr>
              <w:spacing w:after="0"/>
              <w:rPr>
                <w:sz w:val="18"/>
                <w:szCs w:val="18"/>
                <w:color w:val="auto"/>
              </w:rPr>
            </w:pP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2.48</w:t>
            </w: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980" w:type="dxa"/>
            <w:vAlign w:val="bottom"/>
            <w:tcBorders>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3040" w:type="dxa"/>
            <w:vAlign w:val="bottom"/>
            <w:tcBorders>
              <w:left w:val="single" w:sz="8" w:color="auto"/>
              <w:right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Adjusted Diluted Earnings</w:t>
            </w: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3040" w:type="dxa"/>
            <w:vAlign w:val="bottom"/>
            <w:tcBorders>
              <w:left w:val="single" w:sz="8" w:color="auto"/>
              <w:bottom w:val="single" w:sz="8" w:color="auto"/>
              <w:right w:val="single" w:sz="8" w:color="auto"/>
            </w:tcBorders>
          </w:tcPr>
          <w:p>
            <w:pPr>
              <w:ind w:left="120"/>
              <w:spacing w:after="0" w:line="255" w:lineRule="exact"/>
              <w:rPr>
                <w:sz w:val="20"/>
                <w:szCs w:val="20"/>
                <w:color w:val="auto"/>
              </w:rPr>
            </w:pPr>
            <w:r>
              <w:rPr>
                <w:rFonts w:ascii="Times New Roman" w:cs="Times New Roman" w:eastAsia="Times New Roman" w:hAnsi="Times New Roman"/>
                <w:sz w:val="18"/>
                <w:szCs w:val="18"/>
                <w:color w:val="auto"/>
              </w:rPr>
              <w:t xml:space="preserve">Per Common Share </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8"/>
                <w:szCs w:val="18"/>
                <w:color w:val="auto"/>
              </w:rPr>
              <w:t xml:space="preserve"> ($)</w:t>
            </w: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0.91</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0.76</w:t>
            </w: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10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bottom w:val="single" w:sz="8" w:color="auto"/>
              <w:right w:val="single" w:sz="8" w:color="auto"/>
            </w:tcBorders>
          </w:tcPr>
          <w:p>
            <w:pPr>
              <w:spacing w:after="0"/>
              <w:rPr>
                <w:sz w:val="22"/>
                <w:szCs w:val="22"/>
                <w:color w:val="auto"/>
              </w:rPr>
            </w:pPr>
          </w:p>
        </w:tc>
        <w:tc>
          <w:tcPr>
            <w:tcW w:w="9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2.48</w:t>
            </w:r>
          </w:p>
        </w:tc>
        <w:tc>
          <w:tcPr>
            <w:tcW w:w="10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980" w:type="dxa"/>
            <w:vAlign w:val="bottom"/>
            <w:tcBorders>
              <w:bottom w:val="single" w:sz="8" w:color="auto"/>
              <w:right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bl>
    <w:p>
      <w:pPr>
        <w:spacing w:after="0" w:line="1" w:lineRule="exact"/>
        <w:rPr>
          <w:sz w:val="20"/>
          <w:szCs w:val="20"/>
          <w:color w:val="auto"/>
        </w:rPr>
      </w:pPr>
    </w:p>
    <w:p>
      <w:pPr>
        <w:ind w:right="20" w:firstLine="8"/>
        <w:spacing w:after="0" w:line="224" w:lineRule="auto"/>
        <w:tabs>
          <w:tab w:leader="none" w:pos="68" w:val="left"/>
        </w:tabs>
        <w:numPr>
          <w:ilvl w:val="0"/>
          <w:numId w:val="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System sales and same-store sales percentages exclude the impact of F/X. Effective January 1, 2018, temporary store closures are normalized in the same-store sales calculation by excluding the period during which stores are temporarily closed.</w:t>
      </w:r>
    </w:p>
    <w:p>
      <w:pPr>
        <w:spacing w:after="0" w:line="189" w:lineRule="auto"/>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3"/>
          <w:szCs w:val="13"/>
          <w:color w:val="auto"/>
        </w:rPr>
        <w:t>See “Reconciliation of Reported GAAP Results to Non-GAAP Measures” included in the accompanying tables of this release for further details.</w:t>
      </w:r>
    </w:p>
    <w:p>
      <w:pPr>
        <w:ind w:right="20"/>
        <w:spacing w:after="0" w:line="207" w:lineRule="auto"/>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8"/>
          <w:szCs w:val="18"/>
          <w:color w:val="auto"/>
          <w:vertAlign w:val="superscript"/>
        </w:rPr>
        <w:t>4</w:t>
      </w:r>
      <w:r>
        <w:rPr>
          <w:rFonts w:ascii="Times New Roman" w:cs="Times New Roman" w:eastAsia="Times New Roman" w:hAnsi="Times New Roman"/>
          <w:sz w:val="13"/>
          <w:szCs w:val="13"/>
          <w:color w:val="auto"/>
        </w:rPr>
        <w:t xml:space="preserve"> Core operating profit is defined as operating profit adjusted for special items, further excluding items affecting comparability and the impact of F/X. The Company uses core operating profit for the purposes of evaluating the performance of its core operations. Current period amounts are derived by translating results at average exchange rates of the prior year period.</w:t>
      </w:r>
    </w:p>
    <w:p>
      <w:pPr>
        <w:spacing w:after="0" w:line="1" w:lineRule="exact"/>
        <w:rPr>
          <w:rFonts w:ascii="Times New Roman" w:cs="Times New Roman" w:eastAsia="Times New Roman" w:hAnsi="Times New Roman"/>
          <w:sz w:val="17"/>
          <w:szCs w:val="17"/>
          <w:color w:val="auto"/>
          <w:vertAlign w:val="superscript"/>
        </w:rPr>
      </w:pPr>
    </w:p>
    <w:p>
      <w:pPr>
        <w:spacing w:after="0" w:line="189" w:lineRule="auto"/>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8"/>
          <w:szCs w:val="18"/>
          <w:color w:val="auto"/>
          <w:vertAlign w:val="superscript"/>
        </w:rPr>
        <w:t>5</w:t>
      </w:r>
      <w:r>
        <w:rPr>
          <w:rFonts w:ascii="Times New Roman" w:cs="Times New Roman" w:eastAsia="Times New Roman" w:hAnsi="Times New Roman"/>
          <w:sz w:val="13"/>
          <w:szCs w:val="13"/>
          <w:color w:val="auto"/>
        </w:rPr>
        <w:t xml:space="preserve"> OP margin refers to operating profit as a percentage of total revenues.</w:t>
      </w:r>
    </w:p>
    <w:p>
      <w:pPr>
        <w:ind w:right="6000"/>
        <w:spacing w:after="0" w:line="199" w:lineRule="auto"/>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8"/>
          <w:szCs w:val="18"/>
          <w:color w:val="auto"/>
          <w:vertAlign w:val="superscript"/>
        </w:rPr>
        <w:t>6</w:t>
      </w:r>
      <w:r>
        <w:rPr>
          <w:rFonts w:ascii="Times New Roman" w:cs="Times New Roman" w:eastAsia="Times New Roman" w:hAnsi="Times New Roman"/>
          <w:sz w:val="13"/>
          <w:szCs w:val="13"/>
          <w:color w:val="auto"/>
        </w:rPr>
        <w:t xml:space="preserve"> Core OP margin refers to core operating profit as a percentage of total revenues excluding F/X. </w:t>
      </w:r>
      <w:r>
        <w:rPr>
          <w:rFonts w:ascii="Times New Roman" w:cs="Times New Roman" w:eastAsia="Times New Roman" w:hAnsi="Times New Roman"/>
          <w:sz w:val="13"/>
          <w:szCs w:val="13"/>
          <w:i w:val="1"/>
          <w:iCs w:val="1"/>
          <w:color w:val="auto"/>
        </w:rPr>
        <w:t>Note</w:t>
      </w:r>
      <w:r>
        <w:rPr>
          <w:rFonts w:ascii="Times New Roman" w:cs="Times New Roman" w:eastAsia="Times New Roman" w:hAnsi="Times New Roman"/>
          <w:sz w:val="13"/>
          <w:szCs w:val="13"/>
          <w:color w:val="auto"/>
        </w:rPr>
        <w:t>: All comparisons are versus the same period a year ago.</w:t>
      </w:r>
    </w:p>
    <w:p>
      <w:pPr>
        <w:spacing w:after="0" w:line="1" w:lineRule="exact"/>
        <w:rPr>
          <w:rFonts w:ascii="Times New Roman" w:cs="Times New Roman" w:eastAsia="Times New Roman" w:hAnsi="Times New Roman"/>
          <w:sz w:val="17"/>
          <w:szCs w:val="17"/>
          <w:color w:val="auto"/>
          <w:vertAlign w:val="superscript"/>
        </w:rPr>
      </w:pPr>
    </w:p>
    <w:p>
      <w:pPr>
        <w:ind w:right="8580"/>
        <w:spacing w:after="0" w:line="255" w:lineRule="auto"/>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Percentages may not recompute due to rounding. NM refers to not meaningful.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Returns to Shareholders</w:t>
      </w:r>
    </w:p>
    <w:p>
      <w:pPr>
        <w:spacing w:after="0" w:line="121" w:lineRule="exact"/>
        <w:rPr>
          <w:sz w:val="20"/>
          <w:szCs w:val="20"/>
          <w:color w:val="auto"/>
        </w:rPr>
      </w:pPr>
    </w:p>
    <w:p>
      <w:pPr>
        <w:ind w:left="1020" w:right="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on track to return $1.5 billion each year from 2024 to 2026, which is annually around 10% of Yum China’s market capitalization as of October 30, 2026.</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nine months of 2026, the Company returned $1,080 million in capital to shareholders through $778 million in share repurchases and $302 million in cash dividends.</w:t>
      </w:r>
    </w:p>
    <w:p>
      <w:pPr>
        <w:spacing w:after="0" w:line="53"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2026, Yum China’s board of directors (the "Board") increased the Company's share repurchase authorization by $1 billion. With the increased authorization, approximately $1.3 billion remained available for future share repurchases.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declared a cash dividend of $0.29 per share on Yum China’s common stock, payable on December 22, 2026, to shareholders of record as of the close of business on December 1, 2026.</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Starting in 2027, the Company plans to return approximately 100% of annual free cash flow after subsidiaries</w:t>
      </w:r>
      <w:r>
        <w:rPr>
          <w:rFonts w:ascii="Times New Roman" w:cs="Times New Roman" w:eastAsia="Times New Roman" w:hAnsi="Times New Roman"/>
          <w:sz w:val="18"/>
          <w:szCs w:val="18"/>
          <w:color w:val="080808"/>
        </w:rPr>
        <w:t>’</w:t>
      </w:r>
      <w:r>
        <w:rPr>
          <w:rFonts w:ascii="Times New Roman" w:cs="Times New Roman" w:eastAsia="Times New Roman" w:hAnsi="Times New Roman"/>
          <w:sz w:val="18"/>
          <w:szCs w:val="18"/>
          <w:color w:val="auto"/>
        </w:rPr>
        <w:t xml:space="preserve"> dividend payments to non-controlling interests. This is anticipated to translate into an average annual return of approximately $900 million to over $1 billion in 2027 and 2028, and to exceed $1 billion in 2028.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KFC</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720" w:type="dxa"/>
            <w:vAlign w:val="bottom"/>
            <w:tcBorders>
              <w:top w:val="single" w:sz="8" w:color="auto"/>
              <w:left w:val="single" w:sz="8" w:color="auto"/>
              <w:right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40" w:type="dxa"/>
            <w:vAlign w:val="bottom"/>
            <w:tcBorders>
              <w:top w:val="single" w:sz="8" w:color="auto"/>
              <w:bottom w:val="single" w:sz="8" w:color="auto"/>
            </w:tcBorders>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Third Quarter</w:t>
            </w:r>
          </w:p>
        </w:tc>
        <w:tc>
          <w:tcPr>
            <w:tcW w:w="1080" w:type="dxa"/>
            <w:vAlign w:val="bottom"/>
            <w:tcBorders>
              <w:top w:val="single" w:sz="8" w:color="auto"/>
              <w:bottom w:val="single" w:sz="8" w:color="auto"/>
              <w:right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2240" w:type="dxa"/>
            <w:vAlign w:val="bottom"/>
            <w:tcBorders>
              <w:top w:val="single" w:sz="8" w:color="auto"/>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 to Date Ended 9/30</w:t>
            </w:r>
          </w:p>
        </w:tc>
        <w:tc>
          <w:tcPr>
            <w:tcW w:w="88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720" w:type="dxa"/>
            <w:vAlign w:val="bottom"/>
            <w:tcBorders>
              <w:left w:val="single" w:sz="8" w:color="auto"/>
              <w:right w:val="single" w:sz="8" w:color="auto"/>
            </w:tcBorders>
          </w:tcPr>
          <w:p>
            <w:pPr>
              <w:spacing w:after="0"/>
              <w:rPr>
                <w:sz w:val="18"/>
                <w:szCs w:val="18"/>
                <w:color w:val="auto"/>
              </w:rPr>
            </w:pPr>
          </w:p>
        </w:tc>
        <w:tc>
          <w:tcPr>
            <w:tcW w:w="11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8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40" w:type="dxa"/>
            <w:vAlign w:val="bottom"/>
            <w:tcBorders>
              <w:bottom w:val="single" w:sz="8" w:color="auto"/>
              <w:right w:val="single" w:sz="8" w:color="auto"/>
            </w:tcBorders>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%/ppts Change</w:t>
            </w:r>
          </w:p>
        </w:tc>
        <w:tc>
          <w:tcPr>
            <w:tcW w:w="9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920" w:type="dxa"/>
            <w:vAlign w:val="bottom"/>
            <w:tcBorders>
              <w:bottom w:val="single" w:sz="8" w:color="auto"/>
              <w:right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%/ppts Change</w:t>
            </w:r>
          </w:p>
        </w:tc>
        <w:tc>
          <w:tcPr>
            <w:tcW w:w="0" w:type="dxa"/>
            <w:vAlign w:val="bottom"/>
          </w:tcPr>
          <w:p>
            <w:pPr>
              <w:spacing w:after="0"/>
              <w:rPr>
                <w:sz w:val="1"/>
                <w:szCs w:val="1"/>
                <w:color w:val="auto"/>
              </w:rPr>
            </w:pPr>
          </w:p>
        </w:tc>
      </w:tr>
      <w:tr>
        <w:trPr>
          <w:trHeight w:val="209"/>
        </w:trPr>
        <w:tc>
          <w:tcPr>
            <w:tcW w:w="27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Restaurants</w:t>
            </w:r>
          </w:p>
        </w:tc>
        <w:tc>
          <w:tcPr>
            <w:tcW w:w="116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08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Ex F/X</w:t>
            </w:r>
          </w:p>
        </w:tc>
        <w:tc>
          <w:tcPr>
            <w:tcW w:w="92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88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Ex F/X</w:t>
            </w:r>
          </w:p>
        </w:tc>
        <w:tc>
          <w:tcPr>
            <w:tcW w:w="0" w:type="dxa"/>
            <w:vAlign w:val="bottom"/>
          </w:tcPr>
          <w:p>
            <w:pPr>
              <w:spacing w:after="0"/>
              <w:rPr>
                <w:sz w:val="1"/>
                <w:szCs w:val="1"/>
                <w:color w:val="auto"/>
              </w:rPr>
            </w:pPr>
          </w:p>
        </w:tc>
      </w:tr>
      <w:tr>
        <w:trPr>
          <w:trHeight w:val="191"/>
        </w:trPr>
        <w:tc>
          <w:tcPr>
            <w:tcW w:w="2720" w:type="dxa"/>
            <w:vAlign w:val="bottom"/>
            <w:tcBorders>
              <w:left w:val="single" w:sz="8" w:color="auto"/>
              <w:right w:val="single" w:sz="8" w:color="auto"/>
            </w:tcBorders>
            <w:vMerge w:val="continue"/>
          </w:tcPr>
          <w:p>
            <w:pPr>
              <w:spacing w:after="0"/>
              <w:rPr>
                <w:sz w:val="16"/>
                <w:szCs w:val="16"/>
                <w:color w:val="auto"/>
              </w:rPr>
            </w:pPr>
          </w:p>
        </w:tc>
        <w:tc>
          <w:tcPr>
            <w:tcW w:w="1160" w:type="dxa"/>
            <w:vAlign w:val="bottom"/>
          </w:tcPr>
          <w:p>
            <w:pPr>
              <w:jc w:val="right"/>
              <w:ind w:right="210"/>
              <w:spacing w:after="0" w:line="191" w:lineRule="exact"/>
              <w:rPr>
                <w:sz w:val="20"/>
                <w:szCs w:val="20"/>
                <w:color w:val="auto"/>
              </w:rPr>
            </w:pPr>
            <w:r>
              <w:rPr>
                <w:rFonts w:ascii="Times New Roman" w:cs="Times New Roman" w:eastAsia="Times New Roman" w:hAnsi="Times New Roman"/>
                <w:sz w:val="18"/>
                <w:szCs w:val="18"/>
                <w:color w:val="auto"/>
              </w:rPr>
              <w:t>14,307</w:t>
            </w:r>
          </w:p>
        </w:tc>
        <w:tc>
          <w:tcPr>
            <w:tcW w:w="1080" w:type="dxa"/>
            <w:vAlign w:val="bottom"/>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rPr>
              <w:t>12,640</w:t>
            </w:r>
          </w:p>
        </w:tc>
        <w:tc>
          <w:tcPr>
            <w:tcW w:w="116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+13</w:t>
            </w:r>
          </w:p>
        </w:tc>
        <w:tc>
          <w:tcPr>
            <w:tcW w:w="1080" w:type="dxa"/>
            <w:vAlign w:val="bottom"/>
            <w:tcBorders>
              <w:right w:val="single" w:sz="8" w:color="auto"/>
            </w:tcBorders>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NM</w:t>
            </w:r>
          </w:p>
        </w:tc>
        <w:tc>
          <w:tcPr>
            <w:tcW w:w="9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14,307</w:t>
            </w:r>
          </w:p>
        </w:tc>
        <w:tc>
          <w:tcPr>
            <w:tcW w:w="120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12,640</w:t>
            </w:r>
          </w:p>
        </w:tc>
        <w:tc>
          <w:tcPr>
            <w:tcW w:w="104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+13</w:t>
            </w:r>
          </w:p>
        </w:tc>
        <w:tc>
          <w:tcPr>
            <w:tcW w:w="880" w:type="dxa"/>
            <w:vAlign w:val="bottom"/>
            <w:tcBorders>
              <w:right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27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System Sales Growth (%)</w:t>
            </w: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w:t>
            </w: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NM</w:t>
            </w:r>
          </w:p>
        </w:tc>
        <w:tc>
          <w:tcPr>
            <w:tcW w:w="10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NM</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NM</w:t>
            </w:r>
          </w:p>
        </w:tc>
        <w:tc>
          <w:tcPr>
            <w:tcW w:w="8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27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Same-Store Sales Growth (%)</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NM</w:t>
            </w:r>
          </w:p>
        </w:tc>
        <w:tc>
          <w:tcPr>
            <w:tcW w:w="10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NM</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Even</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NM</w:t>
            </w:r>
          </w:p>
        </w:tc>
        <w:tc>
          <w:tcPr>
            <w:tcW w:w="8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27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Revenues ($mn)</w:t>
            </w: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2,597</w:t>
            </w: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2,404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10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7,388</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6,746</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7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 ($mn)</w:t>
            </w: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425</w:t>
            </w: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384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0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1,174</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1,062</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7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Core Operating Profit ($mn)</w:t>
            </w: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400</w:t>
            </w: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384</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NM</w:t>
            </w:r>
          </w:p>
        </w:tc>
        <w:tc>
          <w:tcPr>
            <w:tcW w:w="10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1,109</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1,062</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NM</w:t>
            </w:r>
          </w:p>
        </w:tc>
        <w:tc>
          <w:tcPr>
            <w:tcW w:w="8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7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 Margin (%)</w:t>
            </w: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16.3</w:t>
            </w: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16.0</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0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+0.3</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15.8</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+0.1</w:t>
            </w:r>
          </w:p>
        </w:tc>
        <w:tc>
          <w:tcPr>
            <w:tcW w:w="8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4"/>
        </w:trPr>
        <w:tc>
          <w:tcPr>
            <w:tcW w:w="27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Restaurant Margin (%)</w:t>
            </w:r>
          </w:p>
        </w:tc>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18.6</w:t>
            </w:r>
          </w:p>
        </w:tc>
        <w:tc>
          <w:tcPr>
            <w:tcW w:w="10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18.5</w:t>
            </w: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0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+0.1</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18.3</w:t>
            </w: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18.4</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102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sales for KFC grew 3% YoY. Same-store sales reached 97% of the prior year’s level. Same-store transactions grew 3% YoY, driven in part by incremental smaller orders from new customer segments and occasions such as KCOFFEE and KPRO. Ticket average was 5% lower YoY.</w:t>
      </w:r>
    </w:p>
    <w:p>
      <w:pPr>
        <w:spacing w:after="0" w:line="67"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sales grew 7% YoY, contributing approximately 54% of KFC’s Company sales, up from 51% in the same quarter last year and the same as the prior quarter.</w:t>
      </w: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5" w:name="page6"/>
    <w:bookmarkEnd w:id="5"/>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KFC opened 518 net new stores during the quarter, including 269 opened by franchisees, representing 52% of net new store openings. Total store count reached 14,307 as of September 30, 2026, with 18% of stores operated by franchisees.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profit grew 10% YoY to $425 million, a record third-quarter level. Core operating profit increased 4% YoY.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 margin was 16.3%, an increase of 30 basis points YoY.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 margin was 18.6%, an increase of 10 basis points YoY, primarily due to streamlined operations and favorable commodity prices, partially offset by the impact of value-for-money offerings, sales deleveraging, and increased rider cost resulting from a higher delivery mix.</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Pizza Hut</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560" w:type="dxa"/>
            <w:vAlign w:val="bottom"/>
            <w:tcBorders>
              <w:top w:val="single" w:sz="8" w:color="auto"/>
              <w:left w:val="single" w:sz="8" w:color="auto"/>
              <w:right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2440" w:type="dxa"/>
            <w:vAlign w:val="bottom"/>
            <w:tcBorders>
              <w:top w:val="single" w:sz="8" w:color="auto"/>
              <w:bottom w:val="single" w:sz="8" w:color="auto"/>
            </w:tcBorders>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Third Quarter</w:t>
            </w:r>
          </w:p>
        </w:tc>
        <w:tc>
          <w:tcPr>
            <w:tcW w:w="1180" w:type="dxa"/>
            <w:vAlign w:val="bottom"/>
            <w:tcBorders>
              <w:top w:val="single" w:sz="8" w:color="auto"/>
              <w:bottom w:val="single" w:sz="8" w:color="auto"/>
              <w:right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2140" w:type="dxa"/>
            <w:vAlign w:val="bottom"/>
            <w:tcBorders>
              <w:top w:val="single" w:sz="8" w:color="auto"/>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to Date Ended 9/30</w:t>
            </w:r>
          </w:p>
        </w:tc>
        <w:tc>
          <w:tcPr>
            <w:tcW w:w="88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560" w:type="dxa"/>
            <w:vAlign w:val="bottom"/>
            <w:tcBorders>
              <w:left w:val="single" w:sz="8" w:color="auto"/>
              <w:right w:val="single" w:sz="8" w:color="auto"/>
            </w:tcBorders>
          </w:tcPr>
          <w:p>
            <w:pPr>
              <w:spacing w:after="0"/>
              <w:rPr>
                <w:sz w:val="18"/>
                <w:szCs w:val="18"/>
                <w:color w:val="auto"/>
              </w:rPr>
            </w:pPr>
          </w:p>
        </w:tc>
        <w:tc>
          <w:tcPr>
            <w:tcW w:w="11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8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540" w:type="dxa"/>
            <w:vAlign w:val="bottom"/>
            <w:tcBorders>
              <w:bottom w:val="single" w:sz="8" w:color="auto"/>
              <w:right w:val="single" w:sz="8" w:color="auto"/>
            </w:tcBorders>
            <w:gridSpan w:val="2"/>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%/ppts Change</w:t>
            </w:r>
          </w:p>
        </w:tc>
        <w:tc>
          <w:tcPr>
            <w:tcW w:w="9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18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40" w:type="dxa"/>
            <w:vAlign w:val="bottom"/>
            <w:tcBorders>
              <w:bottom w:val="single" w:sz="8" w:color="auto"/>
              <w:right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%/ppts Change</w:t>
            </w:r>
          </w:p>
        </w:tc>
        <w:tc>
          <w:tcPr>
            <w:tcW w:w="0" w:type="dxa"/>
            <w:vAlign w:val="bottom"/>
          </w:tcPr>
          <w:p>
            <w:pPr>
              <w:spacing w:after="0"/>
              <w:rPr>
                <w:sz w:val="1"/>
                <w:szCs w:val="1"/>
                <w:color w:val="auto"/>
              </w:rPr>
            </w:pPr>
          </w:p>
        </w:tc>
      </w:tr>
      <w:tr>
        <w:trPr>
          <w:trHeight w:val="210"/>
        </w:trPr>
        <w:tc>
          <w:tcPr>
            <w:tcW w:w="256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Restaurants</w:t>
            </w:r>
          </w:p>
        </w:tc>
        <w:tc>
          <w:tcPr>
            <w:tcW w:w="112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18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Ex F/X</w:t>
            </w:r>
          </w:p>
        </w:tc>
        <w:tc>
          <w:tcPr>
            <w:tcW w:w="9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880" w:type="dxa"/>
            <w:vAlign w:val="bottom"/>
            <w:tcBorders>
              <w:bottom w:val="single" w:sz="8" w:color="auto"/>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Ex F/X</w:t>
            </w:r>
          </w:p>
        </w:tc>
        <w:tc>
          <w:tcPr>
            <w:tcW w:w="0" w:type="dxa"/>
            <w:vAlign w:val="bottom"/>
          </w:tcPr>
          <w:p>
            <w:pPr>
              <w:spacing w:after="0"/>
              <w:rPr>
                <w:sz w:val="1"/>
                <w:szCs w:val="1"/>
                <w:color w:val="auto"/>
              </w:rPr>
            </w:pPr>
          </w:p>
        </w:tc>
      </w:tr>
      <w:tr>
        <w:trPr>
          <w:trHeight w:val="191"/>
        </w:trPr>
        <w:tc>
          <w:tcPr>
            <w:tcW w:w="2560" w:type="dxa"/>
            <w:vAlign w:val="bottom"/>
            <w:tcBorders>
              <w:left w:val="single" w:sz="8" w:color="auto"/>
              <w:right w:val="single" w:sz="8" w:color="auto"/>
            </w:tcBorders>
            <w:vMerge w:val="continue"/>
          </w:tcPr>
          <w:p>
            <w:pPr>
              <w:spacing w:after="0"/>
              <w:rPr>
                <w:sz w:val="16"/>
                <w:szCs w:val="16"/>
                <w:color w:val="auto"/>
              </w:rPr>
            </w:pPr>
          </w:p>
        </w:tc>
        <w:tc>
          <w:tcPr>
            <w:tcW w:w="112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4,740</w:t>
            </w:r>
          </w:p>
        </w:tc>
        <w:tc>
          <w:tcPr>
            <w:tcW w:w="1080" w:type="dxa"/>
            <w:vAlign w:val="bottom"/>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rPr>
              <w:t>4,022</w:t>
            </w:r>
          </w:p>
        </w:tc>
        <w:tc>
          <w:tcPr>
            <w:tcW w:w="1360" w:type="dxa"/>
            <w:vAlign w:val="bottom"/>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rPr>
              <w:t>+18</w:t>
            </w:r>
          </w:p>
        </w:tc>
        <w:tc>
          <w:tcPr>
            <w:tcW w:w="1180" w:type="dxa"/>
            <w:vAlign w:val="bottom"/>
            <w:tcBorders>
              <w:right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NM</w:t>
            </w:r>
          </w:p>
        </w:tc>
        <w:tc>
          <w:tcPr>
            <w:tcW w:w="9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4,740</w:t>
            </w:r>
          </w:p>
        </w:tc>
        <w:tc>
          <w:tcPr>
            <w:tcW w:w="118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4,022</w:t>
            </w:r>
          </w:p>
        </w:tc>
        <w:tc>
          <w:tcPr>
            <w:tcW w:w="96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+18</w:t>
            </w:r>
          </w:p>
        </w:tc>
        <w:tc>
          <w:tcPr>
            <w:tcW w:w="880" w:type="dxa"/>
            <w:vAlign w:val="bottom"/>
            <w:tcBorders>
              <w:right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25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System Sales Growth (%)</w:t>
            </w: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NM</w:t>
            </w:r>
          </w:p>
        </w:tc>
        <w:tc>
          <w:tcPr>
            <w:tcW w:w="11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NM</w:t>
            </w:r>
          </w:p>
        </w:tc>
        <w:tc>
          <w:tcPr>
            <w:tcW w:w="8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25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Same-Store Sales Growth (%)</w:t>
            </w: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NM</w:t>
            </w:r>
          </w:p>
        </w:tc>
        <w:tc>
          <w:tcPr>
            <w:tcW w:w="11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NM</w:t>
            </w:r>
          </w:p>
        </w:tc>
        <w:tc>
          <w:tcPr>
            <w:tcW w:w="8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25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Revenues ($mn)</w:t>
            </w: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665</w:t>
            </w: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635</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w:t>
            </w: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1,913</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1,784</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8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5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Profit ($mn)</w:t>
            </w: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73</w:t>
            </w: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57</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+29</w:t>
            </w:r>
          </w:p>
        </w:tc>
        <w:tc>
          <w:tcPr>
            <w:tcW w:w="11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163</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8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5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Core Operating Profit ($mn)</w:t>
            </w: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69</w:t>
            </w: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57</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NM</w:t>
            </w:r>
          </w:p>
        </w:tc>
        <w:tc>
          <w:tcPr>
            <w:tcW w:w="11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163</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NM</w:t>
            </w:r>
          </w:p>
        </w:tc>
        <w:tc>
          <w:tcPr>
            <w:tcW w:w="8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5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 Margin (%)</w:t>
            </w: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11.0</w:t>
            </w: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8.9</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+2.1</w:t>
            </w:r>
          </w:p>
        </w:tc>
        <w:tc>
          <w:tcPr>
            <w:tcW w:w="11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9.1</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8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4"/>
        </w:trPr>
        <w:tc>
          <w:tcPr>
            <w:tcW w:w="25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Restaurant Margin (%)</w:t>
            </w: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15.3</w:t>
            </w:r>
          </w:p>
        </w:tc>
        <w:tc>
          <w:tcPr>
            <w:tcW w:w="10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13.4</w:t>
            </w: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+1.9</w:t>
            </w:r>
          </w:p>
        </w:tc>
        <w:tc>
          <w:tcPr>
            <w:tcW w:w="11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14.4</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13.7</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+0.7</w:t>
            </w:r>
          </w:p>
        </w:tc>
        <w:tc>
          <w:tcPr>
            <w:tcW w:w="8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1020" w:hanging="503"/>
        <w:spacing w:after="0" w:line="23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sales for Pizza Hut grew 1% YoY. Same-store sales reached 97% of the prior year’s level. Same-store transactions grew 5% YoY, marking the 15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consecutive quarter of growth. In line with Pizza Hut’s mass-market strategy, ticket average moved closer to the target range, primarily driven by value-for-money offerings and incremental smaller orders such as those from solo diners.</w:t>
      </w:r>
    </w:p>
    <w:p>
      <w:pPr>
        <w:spacing w:after="0" w:line="10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sales grew 8% YoY, contributing approximately 53% of Pizza Hut’s Company sales, up from 48% in the same quarter last year and slightly up from 52% in the prior quarter.</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Pizza Hut opened 191 net new stores during the quarter, including 91 opened by franchisees, representing 48% of net new store openings. Total store count reached 4,740 as of September 30, 2026, with 13% of stores operated by franchisees.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profit grew 29% YoY to $73 million. Core operating profit increased 21% YoY.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 margin was 11.0%, expanding 210 bps YoY, supported by savings from Pizza Hut license fees previously payable to Yum! Brands.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 margin was 15.3%, an increase of 190 basis points YoY, primarily due to streamlined operations, automation, savings from Pizza Hut license fees and favorable commodity prices, partially offset by the impact of value-for-money offerings, increased costs associated with a higher delivery sales mix and sales deleveraging.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Outlook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targets:</w:t>
      </w:r>
    </w:p>
    <w:p>
      <w:pPr>
        <w:spacing w:after="0" w:line="117"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stores of over 20,500, or more than 2,400 net new stores.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40-50% franchise mix of net new stores for both KFC and Pizza Hut.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of approximately $600 million to $700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billion capital return to shareholders.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on Non-GAAP Measures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Reported GAAP results include items that are excluded from non-GAAP measures. See “Reconciliation of Reported GAAP Results to Non-GAAP Measures” and “Segment Results” within this release for non-GAAP reconciliation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396240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6" w:name="page7"/>
    <w:bookmarkEnd w:id="6"/>
    <w:p>
      <w:pPr>
        <w:jc w:val="both"/>
        <w:spacing w:after="0" w:line="282" w:lineRule="auto"/>
        <w:rPr>
          <w:sz w:val="20"/>
          <w:szCs w:val="20"/>
          <w:color w:val="auto"/>
        </w:rPr>
      </w:pPr>
      <w:r>
        <w:rPr>
          <w:rFonts w:ascii="Times New Roman" w:cs="Times New Roman" w:eastAsia="Times New Roman" w:hAnsi="Times New Roman"/>
          <w:sz w:val="18"/>
          <w:szCs w:val="18"/>
          <w:color w:val="auto"/>
        </w:rPr>
        <w:t>Yum China’s management will hold an earnings conference call at 7:00 a.m. U.S. Eastern Time on Tuesday, November 3, 2026 (8:00 p.m. Beijing/Hong Kong Time on Tuesday, November 3,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live webcast of the call may be accessed at https://edge.media-server.com/mmc/p/dtz2kvag</w:t>
      </w:r>
      <w:r>
        <w:rPr>
          <w:rFonts w:ascii="Times New Roman" w:cs="Times New Roman" w:eastAsia="Times New Roman" w:hAnsi="Times New Roman"/>
          <w:sz w:val="18"/>
          <w:szCs w:val="18"/>
          <w:color w:val="0000FF"/>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join by phone, please register in advance through the link provided below. Upon registering, you will be provided with participant dial-in numbers and a unique access PIN.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Pre-registration Link: https://register-conf.media-server.com/register/BI1c9a9b8fd5294f0fa2f25e5677810699</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replay of the webcast will be available two hours after the event and will remain accessible until November 2, 2027. Earnings release and accompanying slides will be available at the Company’s Investor Relations website http://ir.yumchina.com.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important news and information regarding Yum China, including our filings with the U.S. Securities and Exchange Commission and the Hong Kong Stock Exchange, visit Yum China’s Investor Relations website at http://ir.yumchina.com. Yum China uses this website as a primary channel for disclosing key information to its investors, some of which may contain material and previously non-public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and Section 21E of the Securities Exchange Act of 1934, including statements relating to our projected capital returns for 2026, 2027, and 2028 and those set forth under the section titled “2026 Outlook.” We intend all forward-looking statements to be covered by the safe harbor provisions of the Private Securities Litigation Reform Act of 1995. Forward-looking statements generally can be identified by the fact that they do not relate strictly to historical or current facts and by the use of forward-looking words such as “expect,” “expectation,” “believe,” “anticipate,” “may,” “could,” “intend,” “belief,” “plan,” “estimate,” “target,” “predict,” “project,” “likely,” “will,” “continue,” “should,” “forecast,” “outlook,” “commit” or similar terminology. These statements are based on current estimates and assumptions made by us in light of our experience and perception of historical trends, current conditions and expected future developments, as well as other factors that we believe are appropriate and reasonable under the circumstances, but there can be no assurance that such estimates and assumptions will prove to be correct. Forward-looking statements include, without limitation, statements regarding the future strategies, growth, business plans, investments, store openings, net new stores, franchise mix of net new stores, capital expenditures, capital returns, dividend and share repurchase plans, CAGR for system sales, operating profit and EPS, earnings, performance and returns, anticipated effects of population and macroeconomic trends, execution of the Company’s RGM 3.0 strategy, the anticipated effects of our innovation, digital and delivery capabilities and investments on growth and beliefs regarding the long-term drivers of Yum China’s business. Forward-looking statements are not guarantees of performance and are inherently subject to known and unknown risks and uncertainties that are difficult to predict and could cause our actual results or events to differ materially from those indicated by those statements. We cannot assure you that any of our expectations, estimates or assumptions will be achieved. The forward-looking statements included in this press release are only made as of the date of this press release, and we disclaim any obligation to publicly update any forward-looking statement to reflect subsequent events or circumstances, except as required by law. Numerous factors could cause our actual results or events to differ materially from those expressed or implied by forward-looking statements, including, without limitation: whether we are able to achieve development goals at the times and in the amounts currently anticipated, if at all, the success of our marketing campaigns and product innovation, our ability to maintain food safety and quality control systems, changes in public health conditions, our ability to control costs and expenses, including tax costs, as well as changes in political, economic, trade relations, regulatory conditions in China and the U.S., and those set forth under the caption “Risk Factors” in our most recent Annual Report on Form 10-K and subsequent Quarterly Reports on Form 10-Q. Our plan of capital returns to shareholders is based on current expectations, which may change based on market conditions, capital needs or otherwise. In addition, other risks and uncertainties not presently known to us or that we currently believe to be immaterial could affect the accuracy of any such forward-looking statements. All forward-looking statements should be evaluated with the understanding of their inherent uncertainty. You should consult our filings with the Securities and Exchange Commission (including the information set forth under the caption “Management’s Discussion and Analysis of Financial Condition and Results of Operations” in our Annual Report on Form 10-K and subsequent Quarterly Reports on Form 10-Q) for additional detail about factors that could affect our financial and other results.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Yum China Holdings, Inc.</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Yum China is the largest restaurant company in China with a mission to make every life taste beautiful. The Company operates over 19,000 restaurants under six brands across over 2,800 cities in China. KFC and Pizza Hut are the leading brands in the quick-service and casual dining restaurant spaces in China, respectively. The Pizza Hut brand in Mainland China is owned by Yum China. In addition, Yum China has also partnered with Lavazza to develop the Lavazza coffee concept in China. Little Sheep and Huang Ji Huang specialize in Chinese cuisine. Taco Bell offers innovative Mexican-inspired food. Yum China has a world-class, digitalized supply chain which includes an extensive network of logistics centers nationwide and an in-house supply chain management system. Its strong digital capabilities and loyalty program enable the Company to reach customers faster and serve them better. Yum China is a Fortune 500 company with the vision to be the world's most innovative pioneer in the restaurant industry. For more information, please visit http://ir.yumchina.com.</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u w:val="single" w:color="auto"/>
          <w:color w:val="auto"/>
        </w:rPr>
        <w:t>Investor Relations Contact:</w:t>
      </w:r>
    </w:p>
    <w:p>
      <w:pPr>
        <w:spacing w:after="0" w:line="5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Tel: +86 21 2407 7556</w:t>
      </w:r>
    </w:p>
    <w:p>
      <w:pPr>
        <w:spacing w:after="0" w:line="2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IR@YumChina.com</w:t>
      </w:r>
    </w:p>
    <w:p>
      <w:pPr>
        <w:spacing w:after="0" w:line="20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u w:val="single" w:color="auto"/>
          <w:color w:val="auto"/>
        </w:rPr>
        <w:t>Media Contact:</w:t>
      </w:r>
    </w:p>
    <w:p>
      <w:pPr>
        <w:spacing w:after="0" w:line="2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Tel: +86 21 2407 3824</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Media@YumChina.com</w:t>
      </w:r>
    </w:p>
    <w:p>
      <w:pPr>
        <w:spacing w:after="0" w:line="207"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0"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Yum China Holdings, Inc.</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4300" w:type="dxa"/>
            <w:vAlign w:val="bottom"/>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Income</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3900" w:type="dxa"/>
            <w:vAlign w:val="bottom"/>
            <w:gridSpan w:val="8"/>
          </w:tcPr>
          <w:p>
            <w:pPr>
              <w:jc w:val="center"/>
              <w:ind w:left="335"/>
              <w:spacing w:after="0"/>
              <w:rPr>
                <w:sz w:val="20"/>
                <w:szCs w:val="20"/>
                <w:color w:val="auto"/>
              </w:rPr>
            </w:pPr>
            <w:r>
              <w:rPr>
                <w:rFonts w:ascii="Times New Roman" w:cs="Times New Roman" w:eastAsia="Times New Roman" w:hAnsi="Times New Roman"/>
                <w:sz w:val="18"/>
                <w:szCs w:val="18"/>
                <w:b w:val="1"/>
                <w:bCs w:val="1"/>
                <w:color w:val="auto"/>
              </w:rPr>
              <w:t>(in US$ million, except per share data)</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9/30/2026</w:t>
            </w:r>
          </w:p>
        </w:tc>
        <w:tc>
          <w:tcPr>
            <w:tcW w:w="1080" w:type="dxa"/>
            <w:vAlign w:val="bottom"/>
            <w:gridSpan w:val="3"/>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9/30/2025</w:t>
            </w:r>
          </w:p>
        </w:tc>
        <w:tc>
          <w:tcPr>
            <w:tcW w:w="10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B/(W)</w:t>
            </w:r>
          </w:p>
        </w:tc>
        <w:tc>
          <w:tcPr>
            <w:tcW w:w="0" w:type="dxa"/>
            <w:vAlign w:val="bottom"/>
          </w:tcPr>
          <w:p>
            <w:pPr>
              <w:spacing w:after="0"/>
              <w:rPr>
                <w:sz w:val="1"/>
                <w:szCs w:val="1"/>
                <w:color w:val="auto"/>
              </w:rPr>
            </w:pPr>
          </w:p>
        </w:tc>
      </w:tr>
      <w:tr>
        <w:trPr>
          <w:trHeight w:val="182"/>
        </w:trPr>
        <w:tc>
          <w:tcPr>
            <w:tcW w:w="346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Revenues</w:t>
            </w:r>
          </w:p>
        </w:tc>
        <w:tc>
          <w:tcPr>
            <w:tcW w:w="9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Company sales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3,214</w:t>
            </w:r>
          </w:p>
        </w:tc>
        <w:tc>
          <w:tcPr>
            <w:tcW w:w="520" w:type="dxa"/>
            <w:vAlign w:val="bottom"/>
            <w:gridSpan w:val="2"/>
          </w:tcPr>
          <w:p>
            <w:pPr>
              <w:jc w:val="center"/>
              <w:ind w:right="1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2,998</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Franchise fees and income</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Revenues from transactions with franchisees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Other revenues</w:t>
            </w:r>
          </w:p>
        </w:tc>
        <w:tc>
          <w:tcPr>
            <w:tcW w:w="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9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3,477</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3,206</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46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Costs and Expenses, Net</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Company restaurants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Food and paper</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1,011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939</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Payroll and employee benefits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851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785</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Occupancy and other operating expenses</w:t>
            </w:r>
          </w:p>
        </w:tc>
        <w:tc>
          <w:tcPr>
            <w:tcW w:w="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778</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755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4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Company restaurant expenses</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78"/>
              <w:spacing w:after="0" w:line="182" w:lineRule="exact"/>
              <w:rPr>
                <w:sz w:val="20"/>
                <w:szCs w:val="20"/>
                <w:color w:val="auto"/>
              </w:rPr>
            </w:pPr>
            <w:r>
              <w:rPr>
                <w:rFonts w:ascii="Times New Roman" w:cs="Times New Roman" w:eastAsia="Times New Roman" w:hAnsi="Times New Roman"/>
                <w:sz w:val="16"/>
                <w:szCs w:val="16"/>
                <w:color w:val="auto"/>
              </w:rPr>
              <w:t>2,640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jc w:val="right"/>
              <w:ind w:right="79"/>
              <w:spacing w:after="0" w:line="182" w:lineRule="exact"/>
              <w:rPr>
                <w:sz w:val="20"/>
                <w:szCs w:val="20"/>
                <w:color w:val="auto"/>
              </w:rPr>
            </w:pPr>
            <w:r>
              <w:rPr>
                <w:rFonts w:ascii="Times New Roman" w:cs="Times New Roman" w:eastAsia="Times New Roman" w:hAnsi="Times New Roman"/>
                <w:sz w:val="16"/>
                <w:szCs w:val="16"/>
                <w:color w:val="auto"/>
              </w:rPr>
              <w:t>2,479</w:t>
            </w:r>
          </w:p>
        </w:tc>
        <w:tc>
          <w:tcPr>
            <w:tcW w:w="100" w:type="dxa"/>
            <w:vAlign w:val="bottom"/>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(7)</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Franchise expenses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Expenses for transactions with franchisees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Other operating costs and expenses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Closures and impairment expenses, net</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Total costs and expenses, net</w:t>
            </w:r>
          </w:p>
        </w:tc>
        <w:tc>
          <w:tcPr>
            <w:tcW w:w="9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3,026</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2,806</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46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Operating Profit</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78"/>
              <w:spacing w:after="0" w:line="182" w:lineRule="exact"/>
              <w:rPr>
                <w:sz w:val="20"/>
                <w:szCs w:val="20"/>
                <w:color w:val="auto"/>
              </w:rPr>
            </w:pPr>
            <w:r>
              <w:rPr>
                <w:rFonts w:ascii="Times New Roman" w:cs="Times New Roman" w:eastAsia="Times New Roman" w:hAnsi="Times New Roman"/>
                <w:sz w:val="16"/>
                <w:szCs w:val="16"/>
                <w:color w:val="auto"/>
              </w:rPr>
              <w:t>451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jc w:val="right"/>
              <w:ind w:right="79"/>
              <w:spacing w:after="0" w:line="182" w:lineRule="exact"/>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13</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 net</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Investment gain (loss)</w:t>
            </w:r>
          </w:p>
        </w:tc>
        <w:tc>
          <w:tcPr>
            <w:tcW w:w="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460" w:type="dxa"/>
            <w:vAlign w:val="bottom"/>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Income Before Income Taxes and</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Equity in Net Earnings (Losses) from</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4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Equity Method Investments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463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Equity in net earnings (losses) from</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vMerge w:val="restart"/>
          </w:tcPr>
          <w:p>
            <w:pPr>
              <w:jc w:val="right"/>
              <w:ind w:right="78"/>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equity method investments</w:t>
            </w:r>
          </w:p>
        </w:tc>
        <w:tc>
          <w:tcPr>
            <w:tcW w:w="9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4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Net income – including noncontrolling interests</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78"/>
              <w:spacing w:after="0" w:line="182" w:lineRule="exact"/>
              <w:rPr>
                <w:sz w:val="20"/>
                <w:szCs w:val="20"/>
                <w:color w:val="auto"/>
              </w:rPr>
            </w:pPr>
            <w:r>
              <w:rPr>
                <w:rFonts w:ascii="Times New Roman" w:cs="Times New Roman" w:eastAsia="Times New Roman" w:hAnsi="Times New Roman"/>
                <w:sz w:val="16"/>
                <w:szCs w:val="16"/>
                <w:color w:val="auto"/>
              </w:rPr>
              <w:t>335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jc w:val="right"/>
              <w:ind w:right="79"/>
              <w:spacing w:after="0" w:line="182" w:lineRule="exact"/>
              <w:rPr>
                <w:sz w:val="20"/>
                <w:szCs w:val="20"/>
                <w:color w:val="auto"/>
              </w:rPr>
            </w:pPr>
            <w:r>
              <w:rPr>
                <w:rFonts w:ascii="Times New Roman" w:cs="Times New Roman" w:eastAsia="Times New Roman" w:hAnsi="Times New Roman"/>
                <w:sz w:val="16"/>
                <w:szCs w:val="16"/>
                <w:color w:val="auto"/>
              </w:rPr>
              <w:t>305</w:t>
            </w:r>
          </w:p>
        </w:tc>
        <w:tc>
          <w:tcPr>
            <w:tcW w:w="100" w:type="dxa"/>
            <w:vAlign w:val="bottom"/>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10</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Net income – noncontrolling interests</w:t>
            </w:r>
          </w:p>
        </w:tc>
        <w:tc>
          <w:tcPr>
            <w:tcW w:w="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 Yum China Holdings, Inc.</w:t>
            </w:r>
          </w:p>
        </w:tc>
        <w:tc>
          <w:tcPr>
            <w:tcW w:w="9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Effective tax rate</w:t>
            </w: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6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ppts.</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Basic Earnings Per Common Share</w:t>
            </w: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3460" w:type="dxa"/>
            <w:vAlign w:val="bottom"/>
            <w:vMerge w:val="continue"/>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0.91</w:t>
            </w:r>
          </w:p>
        </w:tc>
        <w:tc>
          <w:tcPr>
            <w:tcW w:w="520" w:type="dxa"/>
            <w:vAlign w:val="bottom"/>
            <w:gridSpan w:val="2"/>
          </w:tcPr>
          <w:p>
            <w:pPr>
              <w:jc w:val="center"/>
              <w:ind w:right="1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0.76</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Weighted-average shares outstanding</w:t>
            </w: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6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restart"/>
          </w:tcPr>
          <w:p>
            <w:pPr>
              <w:jc w:val="right"/>
              <w:ind w:right="78"/>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368</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180"/>
              <w:spacing w:after="0" w:line="176" w:lineRule="exact"/>
              <w:rPr>
                <w:sz w:val="20"/>
                <w:szCs w:val="20"/>
                <w:color w:val="auto"/>
              </w:rPr>
            </w:pPr>
            <w:r>
              <w:rPr>
                <w:rFonts w:ascii="Times New Roman" w:cs="Times New Roman" w:eastAsia="Times New Roman" w:hAnsi="Times New Roman"/>
                <w:sz w:val="16"/>
                <w:szCs w:val="16"/>
                <w:color w:val="auto"/>
              </w:rPr>
              <w:t>(in millions)</w:t>
            </w:r>
          </w:p>
        </w:tc>
        <w:tc>
          <w:tcPr>
            <w:tcW w:w="9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Diluted Earnings Per Common Share</w:t>
            </w: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3460" w:type="dxa"/>
            <w:vAlign w:val="bottom"/>
            <w:vMerge w:val="continue"/>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rPr>
              <w:t>0.91</w:t>
            </w:r>
          </w:p>
        </w:tc>
        <w:tc>
          <w:tcPr>
            <w:tcW w:w="520" w:type="dxa"/>
            <w:vAlign w:val="bottom"/>
            <w:gridSpan w:val="2"/>
          </w:tcPr>
          <w:p>
            <w:pPr>
              <w:jc w:val="center"/>
              <w:ind w:right="1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0.76</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Weighted-average shares outstanding</w:t>
            </w: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6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restart"/>
          </w:tcPr>
          <w:p>
            <w:pPr>
              <w:jc w:val="right"/>
              <w:ind w:right="78"/>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180"/>
              <w:spacing w:after="0" w:line="176" w:lineRule="exact"/>
              <w:rPr>
                <w:sz w:val="20"/>
                <w:szCs w:val="20"/>
                <w:color w:val="auto"/>
              </w:rPr>
            </w:pPr>
            <w:r>
              <w:rPr>
                <w:rFonts w:ascii="Times New Roman" w:cs="Times New Roman" w:eastAsia="Times New Roman" w:hAnsi="Times New Roman"/>
                <w:sz w:val="16"/>
                <w:szCs w:val="16"/>
                <w:color w:val="auto"/>
              </w:rPr>
              <w:t>(in millions)</w:t>
            </w:r>
          </w:p>
        </w:tc>
        <w:tc>
          <w:tcPr>
            <w:tcW w:w="9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b w:val="1"/>
          <w:bCs w:val="1"/>
          <w:color w:val="auto"/>
        </w:rPr>
        <w:t>Year to Date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9/30/2026</w:t>
            </w: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bottom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9/30/2025</w:t>
            </w:r>
          </w:p>
        </w:tc>
      </w:tr>
      <w:tr>
        <w:trPr>
          <w:trHeight w:val="385"/>
        </w:trPr>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9,171</w:t>
            </w:r>
          </w:p>
        </w:tc>
        <w:tc>
          <w:tcPr>
            <w:tcW w:w="3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8,412</w:t>
            </w:r>
          </w:p>
        </w:tc>
      </w:tr>
      <w:tr>
        <w:trPr>
          <w:trHeight w:val="203"/>
        </w:trPr>
        <w:tc>
          <w:tcPr>
            <w:tcW w:w="10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79</w:t>
            </w:r>
          </w:p>
        </w:tc>
      </w:tr>
      <w:tr>
        <w:trPr>
          <w:trHeight w:val="203"/>
        </w:trPr>
        <w:tc>
          <w:tcPr>
            <w:tcW w:w="10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494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376</w:t>
            </w:r>
          </w:p>
        </w:tc>
      </w:tr>
      <w:tr>
        <w:trPr>
          <w:trHeight w:val="213"/>
        </w:trPr>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107</w:t>
            </w:r>
          </w:p>
        </w:tc>
      </w:tr>
      <w:tr>
        <w:trPr>
          <w:trHeight w:val="199"/>
        </w:trPr>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9,886</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8,974</w:t>
            </w:r>
          </w:p>
        </w:tc>
      </w:tr>
      <w:tr>
        <w:trPr>
          <w:trHeight w:val="587"/>
        </w:trPr>
        <w:tc>
          <w:tcPr>
            <w:tcW w:w="100" w:type="dxa"/>
            <w:vAlign w:val="bottom"/>
          </w:tcPr>
          <w:p>
            <w:pPr>
              <w:spacing w:after="0"/>
              <w:rPr>
                <w:sz w:val="24"/>
                <w:szCs w:val="24"/>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2,892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2,623</w:t>
            </w:r>
          </w:p>
        </w:tc>
      </w:tr>
      <w:tr>
        <w:trPr>
          <w:trHeight w:val="203"/>
        </w:trPr>
        <w:tc>
          <w:tcPr>
            <w:tcW w:w="10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2,468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2,216</w:t>
            </w:r>
          </w:p>
        </w:tc>
      </w:tr>
      <w:tr>
        <w:trPr>
          <w:trHeight w:val="213"/>
        </w:trPr>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2,215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2,112</w:t>
            </w:r>
          </w:p>
        </w:tc>
      </w:tr>
      <w:tr>
        <w:trPr>
          <w:trHeight w:val="185"/>
        </w:trPr>
        <w:tc>
          <w:tcPr>
            <w:tcW w:w="100" w:type="dxa"/>
            <w:vAlign w:val="bottom"/>
          </w:tcPr>
          <w:p>
            <w:pPr>
              <w:spacing w:after="0"/>
              <w:rPr>
                <w:sz w:val="16"/>
                <w:szCs w:val="16"/>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7,575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6,951</w:t>
            </w:r>
          </w:p>
        </w:tc>
      </w:tr>
      <w:tr>
        <w:trPr>
          <w:trHeight w:val="203"/>
        </w:trPr>
        <w:tc>
          <w:tcPr>
            <w:tcW w:w="10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431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412</w:t>
            </w:r>
          </w:p>
        </w:tc>
      </w:tr>
      <w:tr>
        <w:trPr>
          <w:trHeight w:val="203"/>
        </w:trPr>
        <w:tc>
          <w:tcPr>
            <w:tcW w:w="10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32</w:t>
            </w:r>
          </w:p>
        </w:tc>
      </w:tr>
      <w:tr>
        <w:trPr>
          <w:trHeight w:val="203"/>
        </w:trPr>
        <w:tc>
          <w:tcPr>
            <w:tcW w:w="10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470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361</w:t>
            </w:r>
          </w:p>
        </w:tc>
      </w:tr>
      <w:tr>
        <w:trPr>
          <w:trHeight w:val="203"/>
        </w:trPr>
        <w:tc>
          <w:tcPr>
            <w:tcW w:w="10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94</w:t>
            </w:r>
          </w:p>
        </w:tc>
      </w:tr>
      <w:tr>
        <w:trPr>
          <w:trHeight w:val="203"/>
        </w:trPr>
        <w:tc>
          <w:tcPr>
            <w:tcW w:w="10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22</w:t>
            </w:r>
          </w:p>
        </w:tc>
      </w:tr>
      <w:tr>
        <w:trPr>
          <w:trHeight w:val="213"/>
        </w:trPr>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r>
      <w:tr>
        <w:trPr>
          <w:trHeight w:val="199"/>
        </w:trPr>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8,640</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7,871</w:t>
            </w:r>
          </w:p>
        </w:tc>
      </w:tr>
      <w:tr>
        <w:trPr>
          <w:trHeight w:val="182"/>
        </w:trPr>
        <w:tc>
          <w:tcPr>
            <w:tcW w:w="100" w:type="dxa"/>
            <w:vAlign w:val="bottom"/>
          </w:tcPr>
          <w:p>
            <w:pPr>
              <w:spacing w:after="0"/>
              <w:rPr>
                <w:sz w:val="15"/>
                <w:szCs w:val="15"/>
                <w:color w:val="auto"/>
              </w:rPr>
            </w:pPr>
          </w:p>
        </w:tc>
        <w:tc>
          <w:tcPr>
            <w:tcW w:w="960" w:type="dxa"/>
            <w:vAlign w:val="bottom"/>
          </w:tcPr>
          <w:p>
            <w:pPr>
              <w:jc w:val="right"/>
              <w:ind w:right="79"/>
              <w:spacing w:after="0" w:line="182" w:lineRule="exact"/>
              <w:rPr>
                <w:sz w:val="20"/>
                <w:szCs w:val="20"/>
                <w:color w:val="auto"/>
              </w:rPr>
            </w:pPr>
            <w:r>
              <w:rPr>
                <w:rFonts w:ascii="Times New Roman" w:cs="Times New Roman" w:eastAsia="Times New Roman" w:hAnsi="Times New Roman"/>
                <w:sz w:val="16"/>
                <w:szCs w:val="16"/>
                <w:color w:val="auto"/>
              </w:rPr>
              <w:t>1,246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ind w:right="79"/>
              <w:spacing w:after="0" w:line="182" w:lineRule="exact"/>
              <w:rPr>
                <w:sz w:val="20"/>
                <w:szCs w:val="20"/>
                <w:color w:val="auto"/>
              </w:rPr>
            </w:pPr>
            <w:r>
              <w:rPr>
                <w:rFonts w:ascii="Times New Roman" w:cs="Times New Roman" w:eastAsia="Times New Roman" w:hAnsi="Times New Roman"/>
                <w:sz w:val="16"/>
                <w:szCs w:val="16"/>
                <w:color w:val="auto"/>
              </w:rPr>
              <w:t>1,103</w:t>
            </w:r>
          </w:p>
        </w:tc>
      </w:tr>
      <w:tr>
        <w:trPr>
          <w:trHeight w:val="203"/>
        </w:trPr>
        <w:tc>
          <w:tcPr>
            <w:tcW w:w="10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74</w:t>
            </w:r>
          </w:p>
        </w:tc>
      </w:tr>
      <w:tr>
        <w:trPr>
          <w:trHeight w:val="213"/>
        </w:trPr>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(25)</w:t>
            </w:r>
          </w:p>
        </w:tc>
      </w:tr>
      <w:tr>
        <w:trPr>
          <w:trHeight w:val="590"/>
        </w:trPr>
        <w:tc>
          <w:tcPr>
            <w:tcW w:w="100" w:type="dxa"/>
            <w:vAlign w:val="bottom"/>
          </w:tcPr>
          <w:p>
            <w:pPr>
              <w:spacing w:after="0"/>
              <w:rPr>
                <w:sz w:val="24"/>
                <w:szCs w:val="24"/>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1,269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1,152</w:t>
            </w:r>
          </w:p>
        </w:tc>
      </w:tr>
      <w:tr>
        <w:trPr>
          <w:trHeight w:val="210"/>
        </w:trPr>
        <w:tc>
          <w:tcPr>
            <w:tcW w:w="1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(313)</w:t>
            </w:r>
          </w:p>
        </w:tc>
      </w:tr>
      <w:tr>
        <w:trPr>
          <w:trHeight w:val="395"/>
        </w:trPr>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12</w:t>
            </w:r>
          </w:p>
        </w:tc>
      </w:tr>
      <w:tr>
        <w:trPr>
          <w:trHeight w:val="185"/>
        </w:trPr>
        <w:tc>
          <w:tcPr>
            <w:tcW w:w="100" w:type="dxa"/>
            <w:vAlign w:val="bottom"/>
          </w:tcPr>
          <w:p>
            <w:pPr>
              <w:spacing w:after="0"/>
              <w:rPr>
                <w:sz w:val="16"/>
                <w:szCs w:val="16"/>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930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851</w:t>
            </w:r>
          </w:p>
        </w:tc>
      </w:tr>
      <w:tr>
        <w:trPr>
          <w:trHeight w:val="210"/>
        </w:trPr>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62</w:t>
            </w:r>
          </w:p>
        </w:tc>
      </w:tr>
      <w:tr>
        <w:trPr>
          <w:trHeight w:val="202"/>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864</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789</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83"/>
        </w:trPr>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383"/>
        </w:trPr>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2.49</w:t>
            </w:r>
          </w:p>
        </w:tc>
        <w:tc>
          <w:tcPr>
            <w:tcW w:w="3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2.12</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345"/>
        </w:trPr>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372</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385"/>
        </w:trPr>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2.48</w:t>
            </w:r>
          </w:p>
        </w:tc>
        <w:tc>
          <w:tcPr>
            <w:tcW w:w="3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2.11</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345"/>
        </w:trPr>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374</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60" w:right="100" w:hanging="160"/>
        <w:spacing w:after="0" w:line="301" w:lineRule="auto"/>
        <w:tabs>
          <w:tab w:leader="none" w:pos="207" w:val="left"/>
        </w:tabs>
        <w:numPr>
          <w:ilvl w:val="0"/>
          <w:numId w:val="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Change B/(W)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-25400</wp:posOffset>
            </wp:positionV>
            <wp:extent cx="7200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9</w:t>
      </w:r>
    </w:p>
    <w:p>
      <w:pPr>
        <w:spacing w:after="0" w:line="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16</w:t>
      </w:r>
    </w:p>
    <w:p>
      <w:pPr>
        <w:spacing w:after="0" w:line="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31</w:t>
      </w:r>
    </w:p>
    <w:p>
      <w:pPr>
        <w:spacing w:after="0" w:line="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21</w:t>
      </w:r>
    </w:p>
    <w:p>
      <w:pPr>
        <w:spacing w:after="0" w:line="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10</w:t>
      </w:r>
    </w:p>
    <w:p>
      <w:pPr>
        <w:spacing w:after="0" w:line="200" w:lineRule="exact"/>
        <w:rPr>
          <w:sz w:val="20"/>
          <w:szCs w:val="20"/>
          <w:color w:val="auto"/>
        </w:rPr>
      </w:pPr>
    </w:p>
    <w:p>
      <w:pPr>
        <w:spacing w:after="0" w:line="2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(10)</w:t>
      </w:r>
    </w:p>
    <w:p>
      <w:pPr>
        <w:spacing w:after="0" w:line="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(11)</w:t>
      </w:r>
    </w:p>
    <w:p>
      <w:pPr>
        <w:spacing w:after="0" w:line="24"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6"/>
          <w:szCs w:val="16"/>
          <w:color w:val="auto"/>
        </w:rPr>
        <w:t>(5)</w:t>
      </w:r>
    </w:p>
    <w:p>
      <w:pPr>
        <w:spacing w:after="0" w:line="26"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6"/>
          <w:szCs w:val="16"/>
          <w:color w:val="auto"/>
        </w:rPr>
        <w:t>(9)</w:t>
      </w:r>
    </w:p>
    <w:p>
      <w:pPr>
        <w:spacing w:after="0" w:line="19"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6"/>
          <w:szCs w:val="16"/>
          <w:color w:val="auto"/>
        </w:rPr>
        <w:t>(5)</w:t>
      </w:r>
    </w:p>
    <w:p>
      <w:pPr>
        <w:spacing w:after="0" w:line="19"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6"/>
          <w:szCs w:val="16"/>
          <w:color w:val="auto"/>
        </w:rPr>
        <w:t>(15)</w:t>
      </w:r>
    </w:p>
    <w:p>
      <w:pPr>
        <w:spacing w:after="0" w:line="19"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6"/>
          <w:szCs w:val="16"/>
          <w:color w:val="auto"/>
        </w:rPr>
        <w:t>(30)</w:t>
      </w:r>
    </w:p>
    <w:p>
      <w:pPr>
        <w:spacing w:after="0" w:line="19"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6"/>
          <w:szCs w:val="16"/>
          <w:color w:val="auto"/>
        </w:rPr>
        <w:t>(19)</w:t>
      </w:r>
    </w:p>
    <w:p>
      <w:pPr>
        <w:spacing w:after="0" w:line="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23</w:t>
      </w:r>
    </w:p>
    <w:p>
      <w:pPr>
        <w:spacing w:after="0" w:line="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NM</w:t>
      </w:r>
    </w:p>
    <w:p>
      <w:pPr>
        <w:spacing w:after="0" w:line="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(10)</w:t>
      </w:r>
    </w:p>
    <w:p>
      <w:pPr>
        <w:spacing w:after="0" w:line="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13</w:t>
      </w:r>
    </w:p>
    <w:p>
      <w:pPr>
        <w:spacing w:after="0" w:line="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(55)</w:t>
      </w:r>
    </w:p>
    <w:p>
      <w:pPr>
        <w:spacing w:after="0" w:line="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52</w:t>
      </w:r>
    </w:p>
    <w:p>
      <w:pPr>
        <w:spacing w:after="0" w:line="200" w:lineRule="exact"/>
        <w:rPr>
          <w:sz w:val="20"/>
          <w:szCs w:val="20"/>
          <w:color w:val="auto"/>
        </w:rPr>
      </w:pPr>
    </w:p>
    <w:p>
      <w:pPr>
        <w:spacing w:after="0" w:line="2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10</w:t>
      </w:r>
    </w:p>
    <w:p>
      <w:pPr>
        <w:spacing w:after="0" w:line="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(10)</w:t>
      </w:r>
    </w:p>
    <w:p>
      <w:pPr>
        <w:spacing w:after="0" w:line="2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(41)</w:t>
      </w:r>
    </w:p>
    <w:p>
      <w:pPr>
        <w:spacing w:after="0" w:line="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9</w:t>
      </w:r>
    </w:p>
    <w:p>
      <w:pPr>
        <w:spacing w:after="0" w:line="2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(5)</w:t>
      </w:r>
    </w:p>
    <w:p>
      <w:pPr>
        <w:spacing w:after="0" w:line="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10</w:t>
      </w:r>
    </w:p>
    <w:p>
      <w:pPr>
        <w:spacing w:after="0" w:line="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  ppts.</w:t>
      </w:r>
    </w:p>
    <w:p>
      <w:pPr>
        <w:spacing w:after="0" w:line="1933" w:lineRule="exact"/>
        <w:rPr>
          <w:sz w:val="20"/>
          <w:szCs w:val="20"/>
          <w:color w:val="auto"/>
        </w:rPr>
      </w:pPr>
    </w:p>
    <w:p>
      <w:pPr>
        <w:sectPr>
          <w:pgSz w:w="11900" w:h="16838" w:orient="portrait"/>
          <w:cols w:equalWidth="0" w:num="3">
            <w:col w:w="7760" w:space="100"/>
            <w:col w:w="2140" w:space="300"/>
            <w:col w:w="840"/>
          </w:cols>
          <w:pgMar w:left="320" w:top="590" w:right="439" w:bottom="1440" w:gutter="0" w:footer="0" w:header="0"/>
        </w:sect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OP margin</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5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ppts.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ppts.</w:t>
            </w:r>
          </w:p>
        </w:tc>
      </w:tr>
      <w:tr>
        <w:trPr>
          <w:trHeight w:val="397"/>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Company sales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Food and paper</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31.5</w:t>
            </w:r>
          </w:p>
        </w:tc>
        <w:tc>
          <w:tcPr>
            <w:tcW w:w="10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31.3</w:t>
            </w:r>
          </w:p>
        </w:tc>
        <w:tc>
          <w:tcPr>
            <w:tcW w:w="13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(0.2) ppts.</w:t>
            </w: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31.5</w:t>
            </w:r>
          </w:p>
        </w:tc>
        <w:tc>
          <w:tcPr>
            <w:tcW w:w="10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31.2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 ppts.</w:t>
            </w:r>
          </w:p>
        </w:tc>
      </w:tr>
      <w:tr>
        <w:trPr>
          <w:trHeight w:val="203"/>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Payroll and employee benefits</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26.5</w:t>
            </w:r>
          </w:p>
        </w:tc>
        <w:tc>
          <w:tcPr>
            <w:tcW w:w="10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26.2</w:t>
            </w:r>
          </w:p>
        </w:tc>
        <w:tc>
          <w:tcPr>
            <w:tcW w:w="13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(0.3) ppts.</w:t>
            </w: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26.9</w:t>
            </w:r>
          </w:p>
        </w:tc>
        <w:tc>
          <w:tcPr>
            <w:tcW w:w="10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26.3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 ppts.</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Occupancy and other operating expenses</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24.2</w:t>
            </w:r>
          </w:p>
        </w:tc>
        <w:tc>
          <w:tcPr>
            <w:tcW w:w="10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25.2</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5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ppts.</w:t>
            </w: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24.2</w:t>
            </w:r>
          </w:p>
        </w:tc>
        <w:tc>
          <w:tcPr>
            <w:tcW w:w="10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25.1</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ppts.</w:t>
            </w:r>
          </w:p>
        </w:tc>
      </w:tr>
      <w:tr>
        <w:trPr>
          <w:trHeight w:val="196"/>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Restaurant margin</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5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ppts.</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ppts.</w:t>
            </w:r>
          </w:p>
        </w:tc>
      </w:tr>
      <w:tr>
        <w:trPr>
          <w:trHeight w:val="20"/>
        </w:trPr>
        <w:tc>
          <w:tcPr>
            <w:tcW w:w="4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198" w:lineRule="exact"/>
        <w:rPr>
          <w:sz w:val="20"/>
          <w:szCs w:val="20"/>
          <w:color w:val="auto"/>
        </w:rPr>
      </w:pPr>
    </w:p>
    <w:p>
      <w:pPr>
        <w:jc w:val="right"/>
        <w:ind w:right="5460"/>
        <w:spacing w:after="0" w:line="282" w:lineRule="auto"/>
        <w:rPr>
          <w:sz w:val="20"/>
          <w:szCs w:val="20"/>
          <w:color w:val="auto"/>
        </w:rPr>
      </w:pPr>
      <w:r>
        <w:rPr>
          <w:rFonts w:ascii="Times New Roman" w:cs="Times New Roman" w:eastAsia="Times New Roman" w:hAnsi="Times New Roman"/>
          <w:sz w:val="18"/>
          <w:szCs w:val="18"/>
          <w:color w:val="auto"/>
        </w:rPr>
        <w:t>Percentages may not recompute due to rounding. NM refers to not meaningful.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367030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90" w:right="4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Yum China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KFC Operating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million)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20" w:type="dxa"/>
            <w:vAlign w:val="bottom"/>
          </w:tcPr>
          <w:p>
            <w:pPr>
              <w:spacing w:after="0"/>
              <w:rPr>
                <w:sz w:val="18"/>
                <w:szCs w:val="18"/>
                <w:color w:val="auto"/>
              </w:rPr>
            </w:pPr>
          </w:p>
        </w:tc>
        <w:tc>
          <w:tcPr>
            <w:tcW w:w="108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Year to Date Ended</w:t>
            </w:r>
          </w:p>
        </w:tc>
        <w:tc>
          <w:tcPr>
            <w:tcW w:w="100" w:type="dxa"/>
            <w:vAlign w:val="bottom"/>
          </w:tcPr>
          <w:p>
            <w:pPr>
              <w:spacing w:after="0"/>
              <w:rPr>
                <w:sz w:val="18"/>
                <w:szCs w:val="18"/>
                <w:color w:val="auto"/>
              </w:rPr>
            </w:pPr>
          </w:p>
        </w:tc>
        <w:tc>
          <w:tcPr>
            <w:tcW w:w="10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196"/>
        </w:trPr>
        <w:tc>
          <w:tcPr>
            <w:tcW w:w="3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9/30/2026</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9/30/2025</w:t>
            </w:r>
          </w:p>
        </w:tc>
        <w:tc>
          <w:tcPr>
            <w:tcW w:w="12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B/(W)</w:t>
            </w:r>
          </w:p>
        </w:tc>
        <w:tc>
          <w:tcPr>
            <w:tcW w:w="2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9/30/2026</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9/30/2025</w:t>
            </w:r>
          </w:p>
        </w:tc>
        <w:tc>
          <w:tcPr>
            <w:tcW w:w="100" w:type="dxa"/>
            <w:vAlign w:val="bottom"/>
          </w:tcPr>
          <w:p>
            <w:pPr>
              <w:spacing w:after="0"/>
              <w:rPr>
                <w:sz w:val="17"/>
                <w:szCs w:val="17"/>
                <w:color w:val="auto"/>
              </w:rPr>
            </w:pPr>
          </w:p>
        </w:tc>
        <w:tc>
          <w:tcPr>
            <w:tcW w:w="1040" w:type="dxa"/>
            <w:vAlign w:val="bottom"/>
            <w:tcBorders>
              <w:bottom w:val="single" w:sz="8" w:color="auto"/>
            </w:tcBorders>
            <w:gridSpan w:val="2"/>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B/(W)</w:t>
            </w:r>
          </w:p>
        </w:tc>
        <w:tc>
          <w:tcPr>
            <w:tcW w:w="0" w:type="dxa"/>
            <w:vAlign w:val="bottom"/>
          </w:tcPr>
          <w:p>
            <w:pPr>
              <w:spacing w:after="0"/>
              <w:rPr>
                <w:sz w:val="1"/>
                <w:szCs w:val="1"/>
                <w:color w:val="auto"/>
              </w:rPr>
            </w:pPr>
          </w:p>
        </w:tc>
      </w:tr>
      <w:tr>
        <w:trPr>
          <w:trHeight w:val="182"/>
        </w:trPr>
        <w:tc>
          <w:tcPr>
            <w:tcW w:w="356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Revenues</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Company sales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2,547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2,363</w:t>
            </w:r>
          </w:p>
        </w:tc>
        <w:tc>
          <w:tcPr>
            <w:tcW w:w="8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7,251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6,630</w:t>
            </w:r>
          </w:p>
        </w:tc>
        <w:tc>
          <w:tcPr>
            <w:tcW w:w="7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9</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Franchise fees and income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22</w:t>
            </w:r>
          </w:p>
        </w:tc>
        <w:tc>
          <w:tcPr>
            <w:tcW w:w="8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62</w:t>
            </w:r>
          </w:p>
        </w:tc>
        <w:tc>
          <w:tcPr>
            <w:tcW w:w="7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20</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Revenues from transactions with franchisees</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w:t>
            </w:r>
          </w:p>
        </w:tc>
        <w:tc>
          <w:tcPr>
            <w:tcW w:w="8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26</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51</w:t>
            </w:r>
          </w:p>
        </w:tc>
        <w:tc>
          <w:tcPr>
            <w:tcW w:w="7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20</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Other revenues</w:t>
            </w:r>
          </w:p>
        </w:tc>
        <w:tc>
          <w:tcPr>
            <w:tcW w:w="6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8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6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2,597</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2,404</w:t>
            </w:r>
          </w:p>
        </w:tc>
        <w:tc>
          <w:tcPr>
            <w:tcW w:w="8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7,388</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6,746</w:t>
            </w:r>
          </w:p>
        </w:tc>
        <w:tc>
          <w:tcPr>
            <w:tcW w:w="7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10</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6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Costs and Expenses, Net</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Company restaurants</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Food and paper</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783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725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2,239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2,041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Payroll and employee benefits</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673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616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1,946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1,726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Occupancy and other operating expenses</w:t>
            </w:r>
          </w:p>
        </w:tc>
        <w:tc>
          <w:tcPr>
            <w:tcW w:w="6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618</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586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1,741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1,641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5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Company restaurant expenses</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79"/>
              <w:spacing w:after="0" w:line="182" w:lineRule="exact"/>
              <w:rPr>
                <w:sz w:val="20"/>
                <w:szCs w:val="20"/>
                <w:color w:val="auto"/>
              </w:rPr>
            </w:pPr>
            <w:r>
              <w:rPr>
                <w:rFonts w:ascii="Times New Roman" w:cs="Times New Roman" w:eastAsia="Times New Roman" w:hAnsi="Times New Roman"/>
                <w:sz w:val="16"/>
                <w:szCs w:val="16"/>
                <w:color w:val="auto"/>
              </w:rPr>
              <w:t>2,074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79"/>
              <w:spacing w:after="0" w:line="182" w:lineRule="exact"/>
              <w:rPr>
                <w:sz w:val="20"/>
                <w:szCs w:val="20"/>
                <w:color w:val="auto"/>
              </w:rPr>
            </w:pPr>
            <w:r>
              <w:rPr>
                <w:rFonts w:ascii="Times New Roman" w:cs="Times New Roman" w:eastAsia="Times New Roman" w:hAnsi="Times New Roman"/>
                <w:sz w:val="16"/>
                <w:szCs w:val="16"/>
                <w:color w:val="auto"/>
              </w:rPr>
              <w:t>1,927</w:t>
            </w:r>
          </w:p>
        </w:tc>
        <w:tc>
          <w:tcPr>
            <w:tcW w:w="82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6"/>
                <w:szCs w:val="16"/>
                <w:color w:val="auto"/>
              </w:rPr>
              <w:t>(8)</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79"/>
              <w:spacing w:after="0" w:line="182" w:lineRule="exact"/>
              <w:rPr>
                <w:sz w:val="20"/>
                <w:szCs w:val="20"/>
                <w:color w:val="auto"/>
              </w:rPr>
            </w:pPr>
            <w:r>
              <w:rPr>
                <w:rFonts w:ascii="Times New Roman" w:cs="Times New Roman" w:eastAsia="Times New Roman" w:hAnsi="Times New Roman"/>
                <w:sz w:val="16"/>
                <w:szCs w:val="16"/>
                <w:color w:val="auto"/>
              </w:rPr>
              <w:t>5,926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79"/>
              <w:spacing w:after="0" w:line="182" w:lineRule="exact"/>
              <w:rPr>
                <w:sz w:val="20"/>
                <w:szCs w:val="20"/>
                <w:color w:val="auto"/>
              </w:rPr>
            </w:pPr>
            <w:r>
              <w:rPr>
                <w:rFonts w:ascii="Times New Roman" w:cs="Times New Roman" w:eastAsia="Times New Roman" w:hAnsi="Times New Roman"/>
                <w:sz w:val="16"/>
                <w:szCs w:val="16"/>
                <w:color w:val="auto"/>
              </w:rPr>
              <w:t>5,408</w:t>
            </w:r>
          </w:p>
        </w:tc>
        <w:tc>
          <w:tcPr>
            <w:tcW w:w="78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6"/>
                <w:szCs w:val="16"/>
                <w:color w:val="auto"/>
              </w:rPr>
              <w:t>(10)</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Franchise expenses</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Expenses for transactions with franchisees</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Other operating costs and expenses</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8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64</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7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60</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Closures and impairment expenses, net</w:t>
            </w:r>
          </w:p>
        </w:tc>
        <w:tc>
          <w:tcPr>
            <w:tcW w:w="6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15</w:t>
            </w:r>
          </w:p>
        </w:tc>
        <w:tc>
          <w:tcPr>
            <w:tcW w:w="7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Total costs and expenses, net</w:t>
            </w:r>
          </w:p>
        </w:tc>
        <w:tc>
          <w:tcPr>
            <w:tcW w:w="6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2,172</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6,214</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5,684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Profit</w:t>
            </w:r>
          </w:p>
        </w:tc>
        <w:tc>
          <w:tcPr>
            <w:tcW w:w="6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425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384</w:t>
            </w:r>
          </w:p>
        </w:tc>
        <w:tc>
          <w:tcPr>
            <w:tcW w:w="8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1,174</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1,062</w:t>
            </w:r>
          </w:p>
        </w:tc>
        <w:tc>
          <w:tcPr>
            <w:tcW w:w="7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10</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OP margin</w:t>
            </w: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0.3</w:t>
            </w:r>
          </w:p>
        </w:tc>
        <w:tc>
          <w:tcPr>
            <w:tcW w:w="3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ppt</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8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0.1</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ppts.</w:t>
            </w:r>
          </w:p>
        </w:tc>
        <w:tc>
          <w:tcPr>
            <w:tcW w:w="0" w:type="dxa"/>
            <w:vAlign w:val="bottom"/>
          </w:tcPr>
          <w:p>
            <w:pPr>
              <w:spacing w:after="0" w:line="20" w:lineRule="exact"/>
              <w:rPr>
                <w:sz w:val="1"/>
                <w:szCs w:val="1"/>
                <w:color w:val="auto"/>
              </w:rPr>
            </w:pPr>
          </w:p>
        </w:tc>
      </w:tr>
      <w:tr>
        <w:trPr>
          <w:trHeight w:val="169"/>
        </w:trPr>
        <w:tc>
          <w:tcPr>
            <w:tcW w:w="356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16.3%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16.0%</w:t>
            </w:r>
          </w:p>
        </w:tc>
        <w:tc>
          <w:tcPr>
            <w:tcW w:w="820" w:type="dxa"/>
            <w:vAlign w:val="bottom"/>
            <w:gridSpan w:val="2"/>
            <w:vMerge w:val="continue"/>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15.9%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15.8%</w:t>
            </w:r>
          </w:p>
        </w:tc>
        <w:tc>
          <w:tcPr>
            <w:tcW w:w="780" w:type="dxa"/>
            <w:vAlign w:val="bottom"/>
            <w:gridSpan w:val="2"/>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Company sales</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Food and paper</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ppt</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30.7</w:t>
            </w:r>
          </w:p>
        </w:tc>
        <w:tc>
          <w:tcPr>
            <w:tcW w:w="12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w:t>
            </w:r>
          </w:p>
        </w:tc>
        <w:tc>
          <w:tcPr>
            <w:tcW w:w="12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30.9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30.8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ppts.</w:t>
            </w:r>
          </w:p>
        </w:tc>
        <w:tc>
          <w:tcPr>
            <w:tcW w:w="0" w:type="dxa"/>
            <w:vAlign w:val="bottom"/>
          </w:tcPr>
          <w:p>
            <w:pPr>
              <w:spacing w:after="0"/>
              <w:rPr>
                <w:sz w:val="1"/>
                <w:szCs w:val="1"/>
                <w:color w:val="auto"/>
              </w:rPr>
            </w:pPr>
          </w:p>
        </w:tc>
      </w:t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Payroll and employee benefits</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ppt</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26.1</w:t>
            </w:r>
          </w:p>
        </w:tc>
        <w:tc>
          <w:tcPr>
            <w:tcW w:w="120" w:type="dxa"/>
            <w:vAlign w:val="bottom"/>
          </w:tcPr>
          <w:p>
            <w:pPr>
              <w:spacing w:after="0"/>
              <w:rPr>
                <w:sz w:val="17"/>
                <w:szCs w:val="17"/>
                <w:color w:val="auto"/>
              </w:rPr>
            </w:pPr>
          </w:p>
        </w:tc>
        <w:tc>
          <w:tcPr>
            <w:tcW w:w="108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(0.3) s.</w:t>
            </w:r>
          </w:p>
        </w:tc>
        <w:tc>
          <w:tcPr>
            <w:tcW w:w="12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ppts.</w:t>
            </w:r>
          </w:p>
        </w:tc>
        <w:tc>
          <w:tcPr>
            <w:tcW w:w="0" w:type="dxa"/>
            <w:vAlign w:val="bottom"/>
          </w:tcPr>
          <w:p>
            <w:pPr>
              <w:spacing w:after="0"/>
              <w:rPr>
                <w:sz w:val="1"/>
                <w:szCs w:val="1"/>
                <w:color w:val="auto"/>
              </w:rPr>
            </w:pPr>
          </w:p>
        </w:tc>
      </w:t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Occupancy and other operating expenses</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24.7</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ppt</w:t>
            </w:r>
          </w:p>
        </w:tc>
        <w:tc>
          <w:tcPr>
            <w:tcW w:w="120" w:type="dxa"/>
            <w:vAlign w:val="bottom"/>
          </w:tcPr>
          <w:p>
            <w:pPr>
              <w:spacing w:after="0"/>
              <w:rPr>
                <w:sz w:val="17"/>
                <w:szCs w:val="17"/>
                <w:color w:val="auto"/>
              </w:rPr>
            </w:pPr>
          </w:p>
        </w:tc>
        <w:tc>
          <w:tcPr>
            <w:tcW w:w="102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8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0.4</w:t>
            </w:r>
          </w:p>
        </w:tc>
        <w:tc>
          <w:tcPr>
            <w:tcW w:w="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7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0.8</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ppts.</w:t>
            </w:r>
          </w:p>
        </w:tc>
        <w:tc>
          <w:tcPr>
            <w:tcW w:w="0" w:type="dxa"/>
            <w:vAlign w:val="bottom"/>
          </w:tcPr>
          <w:p>
            <w:pPr>
              <w:spacing w:after="0"/>
              <w:rPr>
                <w:sz w:val="1"/>
                <w:szCs w:val="1"/>
                <w:color w:val="auto"/>
              </w:rPr>
            </w:pPr>
          </w:p>
        </w:tc>
      </w:tr>
      <w:tr>
        <w:trPr>
          <w:trHeight w:val="182"/>
        </w:trPr>
        <w:tc>
          <w:tcPr>
            <w:tcW w:w="35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Restaurant margin</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gridSpan w:val="2"/>
          </w:tcPr>
          <w:p>
            <w:pPr>
              <w:spacing w:after="0" w:line="182" w:lineRule="exact"/>
              <w:rPr>
                <w:sz w:val="20"/>
                <w:szCs w:val="20"/>
                <w:color w:val="auto"/>
              </w:rPr>
            </w:pPr>
            <w:r>
              <w:rPr>
                <w:rFonts w:ascii="Times New Roman" w:cs="Times New Roman" w:eastAsia="Times New Roman" w:hAnsi="Times New Roman"/>
                <w:sz w:val="16"/>
                <w:szCs w:val="16"/>
                <w:color w:val="auto"/>
              </w:rPr>
              <w:t>ppt</w:t>
            </w:r>
          </w:p>
        </w:tc>
        <w:tc>
          <w:tcPr>
            <w:tcW w:w="1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820" w:type="dxa"/>
            <w:vAlign w:val="bottom"/>
            <w:gridSpan w:val="2"/>
          </w:tcPr>
          <w:p>
            <w:pPr>
              <w:jc w:val="right"/>
              <w:ind w:right="39"/>
              <w:spacing w:after="0" w:line="176" w:lineRule="exact"/>
              <w:rPr>
                <w:sz w:val="20"/>
                <w:szCs w:val="20"/>
                <w:color w:val="auto"/>
              </w:rPr>
            </w:pPr>
            <w:r>
              <w:rPr>
                <w:rFonts w:ascii="Times New Roman" w:cs="Times New Roman" w:eastAsia="Times New Roman" w:hAnsi="Times New Roman"/>
                <w:sz w:val="16"/>
                <w:szCs w:val="16"/>
                <w:color w:val="auto"/>
              </w:rPr>
              <w:t>0.1</w:t>
            </w:r>
          </w:p>
        </w:tc>
        <w:tc>
          <w:tcPr>
            <w:tcW w:w="380" w:type="dxa"/>
            <w:vAlign w:val="bottom"/>
            <w:gridSpan w:val="2"/>
          </w:tcPr>
          <w:p>
            <w:pPr>
              <w:spacing w:after="0" w:line="176" w:lineRule="exact"/>
              <w:rPr>
                <w:sz w:val="20"/>
                <w:szCs w:val="20"/>
                <w:color w:val="auto"/>
              </w:rPr>
            </w:pPr>
            <w:r>
              <w:rPr>
                <w:rFonts w:ascii="Times New Roman" w:cs="Times New Roman" w:eastAsia="Times New Roman" w:hAnsi="Times New Roman"/>
                <w:sz w:val="16"/>
                <w:szCs w:val="16"/>
                <w:color w:val="auto"/>
              </w:rPr>
              <w:t>s.</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6"/>
                <w:szCs w:val="16"/>
                <w:color w:val="auto"/>
              </w:rPr>
              <w:t>(0.1) ppts.</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3404235</wp:posOffset>
            </wp:positionH>
            <wp:positionV relativeFrom="paragraph">
              <wp:posOffset>-1855470</wp:posOffset>
            </wp:positionV>
            <wp:extent cx="939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4158615</wp:posOffset>
            </wp:positionH>
            <wp:positionV relativeFrom="paragraph">
              <wp:posOffset>-1855470</wp:posOffset>
            </wp:positionV>
            <wp:extent cx="939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5641340</wp:posOffset>
            </wp:positionH>
            <wp:positionV relativeFrom="paragraph">
              <wp:posOffset>-1855470</wp:posOffset>
            </wp:positionV>
            <wp:extent cx="9398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6395720</wp:posOffset>
            </wp:positionH>
            <wp:positionV relativeFrom="paragraph">
              <wp:posOffset>-1855470</wp:posOffset>
            </wp:positionV>
            <wp:extent cx="939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3980" cy="17145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Percentages may not recompute due to rounding.</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396240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Yum China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Pizza Hut Operating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million)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00" w:type="dxa"/>
            <w:vAlign w:val="bottom"/>
          </w:tcPr>
          <w:p>
            <w:pPr>
              <w:spacing w:after="0"/>
              <w:rPr>
                <w:sz w:val="18"/>
                <w:szCs w:val="18"/>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Year to Date Ended</w:t>
            </w:r>
          </w:p>
        </w:tc>
        <w:tc>
          <w:tcPr>
            <w:tcW w:w="120" w:type="dxa"/>
            <w:vAlign w:val="bottom"/>
          </w:tcPr>
          <w:p>
            <w:pPr>
              <w:spacing w:after="0"/>
              <w:rPr>
                <w:sz w:val="18"/>
                <w:szCs w:val="18"/>
                <w:color w:val="auto"/>
              </w:rPr>
            </w:pPr>
          </w:p>
        </w:tc>
        <w:tc>
          <w:tcPr>
            <w:tcW w:w="10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196"/>
        </w:trPr>
        <w:tc>
          <w:tcPr>
            <w:tcW w:w="3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9/30/2026</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9/30/2025</w:t>
            </w:r>
          </w:p>
        </w:tc>
        <w:tc>
          <w:tcPr>
            <w:tcW w:w="10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B/(W)</w:t>
            </w:r>
          </w:p>
        </w:tc>
        <w:tc>
          <w:tcPr>
            <w:tcW w:w="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9/30/2026</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9/30/2025</w:t>
            </w:r>
          </w:p>
        </w:tc>
        <w:tc>
          <w:tcPr>
            <w:tcW w:w="120" w:type="dxa"/>
            <w:vAlign w:val="bottom"/>
          </w:tcPr>
          <w:p>
            <w:pPr>
              <w:spacing w:after="0"/>
              <w:rPr>
                <w:sz w:val="17"/>
                <w:szCs w:val="17"/>
                <w:color w:val="auto"/>
              </w:rPr>
            </w:pPr>
          </w:p>
        </w:tc>
        <w:tc>
          <w:tcPr>
            <w:tcW w:w="1060" w:type="dxa"/>
            <w:vAlign w:val="bottom"/>
            <w:tcBorders>
              <w:bottom w:val="single" w:sz="8" w:color="auto"/>
            </w:tcBorders>
            <w:gridSpan w:val="2"/>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B/(W)</w:t>
            </w:r>
          </w:p>
        </w:tc>
        <w:tc>
          <w:tcPr>
            <w:tcW w:w="0" w:type="dxa"/>
            <w:vAlign w:val="bottom"/>
          </w:tcPr>
          <w:p>
            <w:pPr>
              <w:spacing w:after="0"/>
              <w:rPr>
                <w:sz w:val="1"/>
                <w:szCs w:val="1"/>
                <w:color w:val="auto"/>
              </w:rPr>
            </w:pPr>
          </w:p>
        </w:tc>
      </w:tr>
      <w:tr>
        <w:trPr>
          <w:trHeight w:val="182"/>
        </w:trPr>
        <w:tc>
          <w:tcPr>
            <w:tcW w:w="356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Revenues</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Company sales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654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624</w:t>
            </w:r>
          </w:p>
        </w:tc>
        <w:tc>
          <w:tcPr>
            <w:tcW w:w="8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28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1,885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1,753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Franchise fees and income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8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37</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Revenues from transactions with franchisees</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8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61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Other revenues</w:t>
            </w:r>
          </w:p>
        </w:tc>
        <w:tc>
          <w:tcPr>
            <w:tcW w:w="6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6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665</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635</w:t>
            </w:r>
          </w:p>
        </w:tc>
        <w:tc>
          <w:tcPr>
            <w:tcW w:w="8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1,913</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1,784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60" w:type="dxa"/>
            <w:vAlign w:val="bottom"/>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Costs and Expenses, Net</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Company restaurants</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Food and paper</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224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573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Payroll and employee benefits</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483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Occupancy and other operating expenses</w:t>
            </w:r>
          </w:p>
        </w:tc>
        <w:tc>
          <w:tcPr>
            <w:tcW w:w="6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164</w:t>
            </w:r>
          </w:p>
        </w:tc>
        <w:tc>
          <w:tcPr>
            <w:tcW w:w="8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457</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456</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5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Company restaurant expenses</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79"/>
              <w:spacing w:after="0" w:line="182" w:lineRule="exact"/>
              <w:rPr>
                <w:sz w:val="20"/>
                <w:szCs w:val="20"/>
                <w:color w:val="auto"/>
              </w:rPr>
            </w:pPr>
            <w:r>
              <w:rPr>
                <w:rFonts w:ascii="Times New Roman" w:cs="Times New Roman" w:eastAsia="Times New Roman" w:hAnsi="Times New Roman"/>
                <w:sz w:val="16"/>
                <w:szCs w:val="16"/>
                <w:color w:val="auto"/>
              </w:rPr>
              <w:t>554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79"/>
              <w:spacing w:after="0" w:line="182" w:lineRule="exact"/>
              <w:rPr>
                <w:sz w:val="20"/>
                <w:szCs w:val="20"/>
                <w:color w:val="auto"/>
              </w:rPr>
            </w:pPr>
            <w:r>
              <w:rPr>
                <w:rFonts w:ascii="Times New Roman" w:cs="Times New Roman" w:eastAsia="Times New Roman" w:hAnsi="Times New Roman"/>
                <w:sz w:val="16"/>
                <w:szCs w:val="16"/>
                <w:color w:val="auto"/>
              </w:rPr>
              <w:t>540</w:t>
            </w:r>
          </w:p>
        </w:tc>
        <w:tc>
          <w:tcPr>
            <w:tcW w:w="80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6"/>
                <w:szCs w:val="16"/>
                <w:color w:val="auto"/>
              </w:rPr>
              <w:t>(3)</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79"/>
              <w:spacing w:after="0" w:line="182" w:lineRule="exact"/>
              <w:rPr>
                <w:sz w:val="20"/>
                <w:szCs w:val="20"/>
                <w:color w:val="auto"/>
              </w:rPr>
            </w:pPr>
            <w:r>
              <w:rPr>
                <w:rFonts w:ascii="Times New Roman" w:cs="Times New Roman" w:eastAsia="Times New Roman" w:hAnsi="Times New Roman"/>
                <w:sz w:val="16"/>
                <w:szCs w:val="16"/>
                <w:color w:val="auto"/>
              </w:rPr>
              <w:t>1,613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79"/>
              <w:spacing w:after="0" w:line="182" w:lineRule="exact"/>
              <w:rPr>
                <w:sz w:val="20"/>
                <w:szCs w:val="20"/>
                <w:color w:val="auto"/>
              </w:rPr>
            </w:pPr>
            <w:r>
              <w:rPr>
                <w:rFonts w:ascii="Times New Roman" w:cs="Times New Roman" w:eastAsia="Times New Roman" w:hAnsi="Times New Roman"/>
                <w:sz w:val="16"/>
                <w:szCs w:val="16"/>
                <w:color w:val="auto"/>
              </w:rPr>
              <w:t>1,512</w:t>
            </w:r>
          </w:p>
        </w:tc>
        <w:tc>
          <w:tcPr>
            <w:tcW w:w="78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6"/>
                <w:szCs w:val="16"/>
                <w:color w:val="auto"/>
              </w:rPr>
              <w:t>(7)</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Franchise expenses</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8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38</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Expenses for transactions with franchisees</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Other operating costs and expenses</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8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Closures and impairment expenses, net</w:t>
            </w:r>
          </w:p>
        </w:tc>
        <w:tc>
          <w:tcPr>
            <w:tcW w:w="6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8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Total costs and expenses, net</w:t>
            </w:r>
          </w:p>
        </w:tc>
        <w:tc>
          <w:tcPr>
            <w:tcW w:w="6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592</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578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1,718</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1,621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Profit</w:t>
            </w:r>
          </w:p>
        </w:tc>
        <w:tc>
          <w:tcPr>
            <w:tcW w:w="6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57</w:t>
            </w:r>
          </w:p>
        </w:tc>
        <w:tc>
          <w:tcPr>
            <w:tcW w:w="8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29</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163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OP margin</w:t>
            </w: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c>
          <w:tcPr>
            <w:tcW w:w="2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ppt</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ppts.</w:t>
            </w:r>
          </w:p>
        </w:tc>
        <w:tc>
          <w:tcPr>
            <w:tcW w:w="0" w:type="dxa"/>
            <w:vAlign w:val="bottom"/>
          </w:tcPr>
          <w:p>
            <w:pPr>
              <w:spacing w:after="0" w:line="20" w:lineRule="exact"/>
              <w:rPr>
                <w:sz w:val="1"/>
                <w:szCs w:val="1"/>
                <w:color w:val="auto"/>
              </w:rPr>
            </w:pPr>
          </w:p>
        </w:tc>
      </w:tr>
      <w:tr>
        <w:trPr>
          <w:trHeight w:val="169"/>
        </w:trPr>
        <w:tc>
          <w:tcPr>
            <w:tcW w:w="356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11.0%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8.9%</w:t>
            </w:r>
          </w:p>
        </w:tc>
        <w:tc>
          <w:tcPr>
            <w:tcW w:w="800" w:type="dxa"/>
            <w:vAlign w:val="bottom"/>
            <w:gridSpan w:val="2"/>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9.1%</w:t>
            </w:r>
          </w:p>
        </w:tc>
        <w:tc>
          <w:tcPr>
            <w:tcW w:w="780" w:type="dxa"/>
            <w:vAlign w:val="bottom"/>
            <w:gridSpan w:val="2"/>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Company sales</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Food and paper</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ppt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34.3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tcPr>
          <w:p>
            <w:pPr>
              <w:spacing w:after="0"/>
              <w:rPr>
                <w:sz w:val="17"/>
                <w:szCs w:val="17"/>
                <w:color w:val="auto"/>
              </w:rPr>
            </w:pPr>
          </w:p>
        </w:tc>
        <w:tc>
          <w:tcPr>
            <w:tcW w:w="9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(0.6) 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32.7</w:t>
            </w:r>
          </w:p>
        </w:tc>
        <w:tc>
          <w:tcPr>
            <w:tcW w:w="12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 ppts.</w:t>
            </w:r>
          </w:p>
        </w:tc>
        <w:tc>
          <w:tcPr>
            <w:tcW w:w="0" w:type="dxa"/>
            <w:vAlign w:val="bottom"/>
          </w:tcPr>
          <w:p>
            <w:pPr>
              <w:spacing w:after="0"/>
              <w:rPr>
                <w:sz w:val="1"/>
                <w:szCs w:val="1"/>
                <w:color w:val="auto"/>
              </w:rPr>
            </w:pPr>
          </w:p>
        </w:tc>
      </w:t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Payroll and employee benefits</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ppt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Pr>
          <w:p>
            <w:pPr>
              <w:spacing w:after="0"/>
              <w:rPr>
                <w:sz w:val="17"/>
                <w:szCs w:val="17"/>
                <w:color w:val="auto"/>
              </w:rPr>
            </w:pPr>
          </w:p>
        </w:tc>
        <w:tc>
          <w:tcPr>
            <w:tcW w:w="9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(0.2) 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27.6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ppts.</w:t>
            </w:r>
          </w:p>
        </w:tc>
        <w:tc>
          <w:tcPr>
            <w:tcW w:w="0" w:type="dxa"/>
            <w:vAlign w:val="bottom"/>
          </w:tcPr>
          <w:p>
            <w:pPr>
              <w:spacing w:after="0"/>
              <w:rPr>
                <w:sz w:val="1"/>
                <w:szCs w:val="1"/>
                <w:color w:val="auto"/>
              </w:rPr>
            </w:pPr>
          </w:p>
        </w:tc>
      </w:t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Occupancy and other operating expenses</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23.5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ppt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26.0</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8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2.7</w:t>
            </w:r>
          </w:p>
        </w:tc>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ppts.</w:t>
            </w:r>
          </w:p>
        </w:tc>
        <w:tc>
          <w:tcPr>
            <w:tcW w:w="0" w:type="dxa"/>
            <w:vAlign w:val="bottom"/>
          </w:tcPr>
          <w:p>
            <w:pPr>
              <w:spacing w:after="0"/>
              <w:rPr>
                <w:sz w:val="1"/>
                <w:szCs w:val="1"/>
                <w:color w:val="auto"/>
              </w:rPr>
            </w:pPr>
          </w:p>
        </w:tc>
      </w:tr>
      <w:tr>
        <w:trPr>
          <w:trHeight w:val="182"/>
        </w:trPr>
        <w:tc>
          <w:tcPr>
            <w:tcW w:w="35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Restaurant margin</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ppt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800" w:type="dxa"/>
            <w:vAlign w:val="bottom"/>
            <w:gridSpan w:val="2"/>
          </w:tcPr>
          <w:p>
            <w:pPr>
              <w:jc w:val="right"/>
              <w:ind w:right="39"/>
              <w:spacing w:after="0" w:line="176" w:lineRule="exact"/>
              <w:rPr>
                <w:sz w:val="20"/>
                <w:szCs w:val="20"/>
                <w:color w:val="auto"/>
              </w:rPr>
            </w:pPr>
            <w:r>
              <w:rPr>
                <w:rFonts w:ascii="Times New Roman" w:cs="Times New Roman" w:eastAsia="Times New Roman" w:hAnsi="Times New Roman"/>
                <w:sz w:val="16"/>
                <w:szCs w:val="16"/>
                <w:color w:val="auto"/>
              </w:rPr>
              <w:t>1.9</w:t>
            </w:r>
          </w:p>
        </w:tc>
        <w:tc>
          <w:tcPr>
            <w:tcW w:w="280" w:type="dxa"/>
            <w:vAlign w:val="bottom"/>
          </w:tcPr>
          <w:p>
            <w:pPr>
              <w:spacing w:after="0" w:line="176" w:lineRule="exact"/>
              <w:rPr>
                <w:sz w:val="20"/>
                <w:szCs w:val="20"/>
                <w:color w:val="auto"/>
              </w:rPr>
            </w:pPr>
            <w:r>
              <w:rPr>
                <w:rFonts w:ascii="Times New Roman" w:cs="Times New Roman" w:eastAsia="Times New Roman" w:hAnsi="Times New Roman"/>
                <w:sz w:val="16"/>
                <w:szCs w:val="16"/>
                <w:color w:val="auto"/>
              </w:rPr>
              <w:t>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78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6"/>
                <w:szCs w:val="16"/>
                <w:color w:val="auto"/>
              </w:rPr>
              <w:t>0.7</w:t>
            </w:r>
          </w:p>
        </w:tc>
        <w:tc>
          <w:tcPr>
            <w:tcW w:w="400" w:type="dxa"/>
            <w:vAlign w:val="bottom"/>
          </w:tcPr>
          <w:p>
            <w:pPr>
              <w:jc w:val="right"/>
              <w:spacing w:after="0" w:line="176" w:lineRule="exact"/>
              <w:rPr>
                <w:sz w:val="20"/>
                <w:szCs w:val="20"/>
                <w:color w:val="auto"/>
              </w:rPr>
            </w:pPr>
            <w:r>
              <w:rPr>
                <w:rFonts w:ascii="Times New Roman" w:cs="Times New Roman" w:eastAsia="Times New Roman" w:hAnsi="Times New Roman"/>
                <w:sz w:val="16"/>
                <w:szCs w:val="16"/>
                <w:color w:val="auto"/>
              </w:rPr>
              <w:t>ppts.</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3395345</wp:posOffset>
            </wp:positionH>
            <wp:positionV relativeFrom="paragraph">
              <wp:posOffset>-1855470</wp:posOffset>
            </wp:positionV>
            <wp:extent cx="93980" cy="1708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4149725</wp:posOffset>
            </wp:positionH>
            <wp:positionV relativeFrom="paragraph">
              <wp:posOffset>-1855470</wp:posOffset>
            </wp:positionV>
            <wp:extent cx="93980" cy="1708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-1855470</wp:posOffset>
            </wp:positionV>
            <wp:extent cx="93980" cy="1708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6378575</wp:posOffset>
            </wp:positionH>
            <wp:positionV relativeFrom="paragraph">
              <wp:posOffset>-1855470</wp:posOffset>
            </wp:positionV>
            <wp:extent cx="93980" cy="1708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3980" cy="17081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Percentages may not recompute due to rounding.</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Yum China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million)</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9/30/2026</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12/31/2025</w:t>
            </w:r>
          </w:p>
        </w:tc>
        <w:tc>
          <w:tcPr>
            <w:tcW w:w="0" w:type="dxa"/>
            <w:vAlign w:val="bottom"/>
          </w:tcPr>
          <w:p>
            <w:pPr>
              <w:spacing w:after="0"/>
              <w:rPr>
                <w:sz w:val="1"/>
                <w:szCs w:val="1"/>
                <w:color w:val="auto"/>
              </w:rPr>
            </w:pPr>
          </w:p>
        </w:tc>
      </w:tr>
      <w:tr>
        <w:trPr>
          <w:trHeight w:val="232"/>
        </w:trPr>
        <w:tc>
          <w:tcPr>
            <w:tcW w:w="8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20"/>
                <w:szCs w:val="20"/>
                <w:color w:val="auto"/>
              </w:rPr>
            </w:pPr>
          </w:p>
        </w:tc>
        <w:tc>
          <w:tcPr>
            <w:tcW w:w="14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81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34"/>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390</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191"/>
        </w:trPr>
        <w:tc>
          <w:tcPr>
            <w:tcW w:w="810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200" w:type="dxa"/>
            <w:vAlign w:val="bottom"/>
          </w:tcPr>
          <w:p>
            <w:pPr>
              <w:spacing w:after="0"/>
              <w:rPr>
                <w:sz w:val="16"/>
                <w:szCs w:val="16"/>
                <w:color w:val="auto"/>
              </w:rPr>
            </w:pPr>
          </w:p>
        </w:tc>
        <w:tc>
          <w:tcPr>
            <w:tcW w:w="14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2,608</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2,357</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2,660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2,543</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2,072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2,189</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2,046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1,963</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Long-term bank deposits and notes</w:t>
            </w: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34"/>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379</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09"/>
        </w:trPr>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12,407</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10,783</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NONCONTROLLING INTEREST AND EQUITY</w:t>
            </w: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81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2,234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2,127</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4"/>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91"/>
        </w:trPr>
        <w:tc>
          <w:tcPr>
            <w:tcW w:w="810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0" w:type="dxa"/>
            <w:vAlign w:val="bottom"/>
          </w:tcPr>
          <w:p>
            <w:pPr>
              <w:spacing w:after="0"/>
              <w:rPr>
                <w:sz w:val="16"/>
                <w:szCs w:val="16"/>
                <w:color w:val="auto"/>
              </w:rPr>
            </w:pPr>
          </w:p>
        </w:tc>
        <w:tc>
          <w:tcPr>
            <w:tcW w:w="14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3,918</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2,246</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1,823</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Non-current finance lease liabilities</w:t>
            </w: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34"/>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0"/>
        </w:trPr>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6,311</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4,684</w:t>
            </w:r>
          </w:p>
        </w:tc>
        <w:tc>
          <w:tcPr>
            <w:tcW w:w="0" w:type="dxa"/>
            <w:vAlign w:val="bottom"/>
          </w:tcPr>
          <w:p>
            <w:pPr>
              <w:spacing w:after="0"/>
              <w:rPr>
                <w:sz w:val="1"/>
                <w:szCs w:val="1"/>
                <w:color w:val="auto"/>
              </w:rPr>
            </w:pPr>
          </w:p>
        </w:tc>
      </w:tr>
      <w:tr>
        <w:trPr>
          <w:trHeight w:val="425"/>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Redeemable Noncontrolling Interest</w:t>
            </w:r>
          </w:p>
        </w:tc>
        <w:tc>
          <w:tcPr>
            <w:tcW w:w="200" w:type="dxa"/>
            <w:vAlign w:val="bottom"/>
          </w:tcPr>
          <w:p>
            <w:pPr>
              <w:spacing w:after="0"/>
              <w:rPr>
                <w:sz w:val="24"/>
                <w:szCs w:val="24"/>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4"/>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$0.01 par value; 1,000 million shares authorized; 339 million shares</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and 355 million shares issued at September 30, 2026 and December 31, 2025, respectively;</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339 million shares and 354 million shares outstanding at September 30, 2026 and December 31,</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2025, respectively.</w:t>
            </w: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3,643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3,796</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1,764</w:t>
            </w:r>
          </w:p>
        </w:tc>
        <w:tc>
          <w:tcPr>
            <w:tcW w:w="0" w:type="dxa"/>
            <w:vAlign w:val="bottom"/>
          </w:tcPr>
          <w:p>
            <w:pPr>
              <w:spacing w:after="0"/>
              <w:rPr>
                <w:sz w:val="1"/>
                <w:szCs w:val="1"/>
                <w:color w:val="auto"/>
              </w:rPr>
            </w:pPr>
          </w:p>
        </w:tc>
      </w:tr>
      <w:tr>
        <w:trPr>
          <w:trHeight w:val="234"/>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191"/>
        </w:trPr>
        <w:tc>
          <w:tcPr>
            <w:tcW w:w="810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b w:val="1"/>
                <w:bCs w:val="1"/>
                <w:color w:val="auto"/>
              </w:rPr>
              <w:t>Total Yum China Holdings, Inc. Stockholders' Equity</w:t>
            </w:r>
          </w:p>
        </w:tc>
        <w:tc>
          <w:tcPr>
            <w:tcW w:w="200" w:type="dxa"/>
            <w:vAlign w:val="bottom"/>
          </w:tcPr>
          <w:p>
            <w:pPr>
              <w:spacing w:after="0"/>
              <w:rPr>
                <w:sz w:val="16"/>
                <w:szCs w:val="16"/>
                <w:color w:val="auto"/>
              </w:rPr>
            </w:pPr>
          </w:p>
        </w:tc>
        <w:tc>
          <w:tcPr>
            <w:tcW w:w="14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5,361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5,379</w:t>
            </w:r>
          </w:p>
        </w:tc>
        <w:tc>
          <w:tcPr>
            <w:tcW w:w="0" w:type="dxa"/>
            <w:vAlign w:val="bottom"/>
          </w:tcPr>
          <w:p>
            <w:pPr>
              <w:spacing w:after="0"/>
              <w:rPr>
                <w:sz w:val="1"/>
                <w:szCs w:val="1"/>
                <w:color w:val="auto"/>
              </w:rPr>
            </w:pPr>
          </w:p>
        </w:tc>
      </w:tr>
      <w:tr>
        <w:trPr>
          <w:trHeight w:val="234"/>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735</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09"/>
        </w:trPr>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6,096</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6,099</w:t>
            </w:r>
          </w:p>
        </w:tc>
        <w:tc>
          <w:tcPr>
            <w:tcW w:w="0" w:type="dxa"/>
            <w:vAlign w:val="bottom"/>
          </w:tcPr>
          <w:p>
            <w:pPr>
              <w:spacing w:after="0"/>
              <w:rPr>
                <w:sz w:val="1"/>
                <w:szCs w:val="1"/>
                <w:color w:val="auto"/>
              </w:rPr>
            </w:pPr>
          </w:p>
        </w:tc>
      </w:tr>
      <w:tr>
        <w:trPr>
          <w:trHeight w:val="209"/>
        </w:trPr>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Liabilities, Redeemable Noncontrolling Interest and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12,407</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10,783</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1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1"/>
        </w:trPr>
        <w:tc>
          <w:tcPr>
            <w:tcW w:w="8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Yum China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million)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6"/>
          </w:tcPr>
          <w:p>
            <w:pPr>
              <w:ind w:left="800"/>
              <w:spacing w:after="0"/>
              <w:rPr>
                <w:sz w:val="20"/>
                <w:szCs w:val="20"/>
                <w:color w:val="auto"/>
              </w:rPr>
            </w:pPr>
            <w:r>
              <w:rPr>
                <w:rFonts w:ascii="Times New Roman" w:cs="Times New Roman" w:eastAsia="Times New Roman" w:hAnsi="Times New Roman"/>
                <w:sz w:val="18"/>
                <w:szCs w:val="18"/>
                <w:b w:val="1"/>
                <w:bCs w:val="1"/>
                <w:color w:val="auto"/>
              </w:rPr>
              <w:t>Year to Date Ended</w:t>
            </w:r>
          </w:p>
        </w:tc>
        <w:tc>
          <w:tcPr>
            <w:tcW w:w="0" w:type="dxa"/>
            <w:vAlign w:val="bottom"/>
          </w:tcPr>
          <w:p>
            <w:pPr>
              <w:spacing w:after="0"/>
              <w:rPr>
                <w:sz w:val="1"/>
                <w:szCs w:val="1"/>
                <w:color w:val="auto"/>
              </w:rPr>
            </w:pPr>
          </w:p>
        </w:tc>
      </w:tr>
      <w:tr>
        <w:trPr>
          <w:trHeight w:val="209"/>
        </w:trPr>
        <w:tc>
          <w:tcPr>
            <w:tcW w:w="660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Cash Flows – Operating Activities</w:t>
            </w:r>
          </w:p>
        </w:tc>
        <w:tc>
          <w:tcPr>
            <w:tcW w:w="9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9/30/2026</w:t>
            </w:r>
          </w:p>
        </w:tc>
        <w:tc>
          <w:tcPr>
            <w:tcW w:w="1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9/30/2025</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60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income – including noncontrolling interests</w:t>
            </w: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Pr>
          <w:p>
            <w:pPr>
              <w:spacing w:after="0"/>
              <w:rPr>
                <w:sz w:val="18"/>
                <w:szCs w:val="18"/>
                <w:color w:val="auto"/>
              </w:rPr>
            </w:pPr>
          </w:p>
        </w:tc>
        <w:tc>
          <w:tcPr>
            <w:tcW w:w="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Non-cash operating lease cost</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Closures and impairment expenses</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Investment loss</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Equity in net (earnings) losses from equity method investments</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Distributions of income received from equity method investments</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Deferred income taxes</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Changes in accounts receivable</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Changes in inventories</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Changes in prepaid expenses, other current assets and value-added tax assets</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Changes in accounts payable and other current liabilities</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Changes in income taxes payable</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Changes in non-current operating lease liabilities</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net</w:t>
            </w:r>
          </w:p>
        </w:tc>
        <w:tc>
          <w:tcPr>
            <w:tcW w:w="9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9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60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auto"/>
              </w:rPr>
              <w:t>Cash Flows – Investing Activities</w:t>
            </w: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Capital spending</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Purchases of short-term investments, long-term bank deposits and notes</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Maturities of short-term investments, long-term bank deposits and notes</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Acquisition of intangible assets</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Acquisition of equity investment</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net</w:t>
            </w: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9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60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auto"/>
              </w:rPr>
              <w:t>Cash Flows – Financing Activities</w:t>
            </w: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Proceeds from short-term borrowings</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Repayment of short-term borrowings</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Repurchase of shares of common stock</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dividends paid on common stock</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Dividends paid to noncontrolling interests</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Acquisition of noncontrolling interests</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net</w:t>
            </w:r>
          </w:p>
        </w:tc>
        <w:tc>
          <w:tcPr>
            <w:tcW w:w="9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9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Effect of Exchange Rates on Cash, Cash Equivalents and Restricted Cash</w:t>
            </w:r>
          </w:p>
        </w:tc>
        <w:tc>
          <w:tcPr>
            <w:tcW w:w="9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60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 Beginning of Period</w:t>
            </w:r>
          </w:p>
        </w:tc>
        <w:tc>
          <w:tcPr>
            <w:tcW w:w="9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 End of Period</w:t>
            </w:r>
          </w:p>
        </w:tc>
        <w:tc>
          <w:tcPr>
            <w:tcW w:w="90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10</w:t>
            </w:r>
          </w:p>
        </w:tc>
        <w:tc>
          <w:tcPr>
            <w:tcW w:w="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1"/>
        </w:trPr>
        <w:tc>
          <w:tcPr>
            <w:tcW w:w="66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In this press release:</w:t>
      </w:r>
    </w:p>
    <w:p>
      <w:pPr>
        <w:spacing w:after="0" w:line="117" w:lineRule="exact"/>
        <w:rPr>
          <w:sz w:val="20"/>
          <w:szCs w:val="20"/>
          <w:color w:val="auto"/>
        </w:rPr>
      </w:pPr>
    </w:p>
    <w:p>
      <w:pPr>
        <w:jc w:val="both"/>
        <w:ind w:left="700" w:hanging="438"/>
        <w:spacing w:after="0" w:line="266" w:lineRule="auto"/>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performance metrics and non-GAAP measures are presented excluding the impact of foreign currency translation (“F/X”). These amounts are derived by translating current year results at prior year average exchange rates. We believe the elimination of the F/X impact provides better year-to-year comparability without the distortion of foreign currency fluctuations.</w:t>
      </w:r>
    </w:p>
    <w:p>
      <w:pPr>
        <w:spacing w:after="0" w:line="67" w:lineRule="exact"/>
        <w:rPr>
          <w:rFonts w:ascii="Times New Roman" w:cs="Times New Roman" w:eastAsia="Times New Roman" w:hAnsi="Times New Roman"/>
          <w:sz w:val="18"/>
          <w:szCs w:val="18"/>
          <w:color w:val="auto"/>
        </w:rPr>
      </w:pPr>
    </w:p>
    <w:p>
      <w:pPr>
        <w:jc w:val="both"/>
        <w:ind w:left="700" w:hanging="438"/>
        <w:spacing w:after="0" w:line="256" w:lineRule="auto"/>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sales growth reflects the results of all restaurants regardless of ownership, including Company-owned and franchise restaurants that operate our restaurant concepts, except for non-Company-owned restaurants for which we do not receive a sales-based royalty. Sales of franchise restaurants typically generate ongoing franchise fees for the Company at an average rate of approximately 6% of system sales. Franchise restaurant sales are not included in Company sales in the Condensed Consolidated Statements of Income; however, the franchise fees are included in the Company’s revenues. We believe system sales growth is useful to investors as a significant indicator of the overall strength of our business as it incorporates all of our revenue drivers, Company and franchise same-store sales as well as net unit growth.</w:t>
      </w:r>
    </w:p>
    <w:p>
      <w:pPr>
        <w:spacing w:after="0" w:line="79" w:lineRule="exact"/>
        <w:rPr>
          <w:rFonts w:ascii="Times New Roman" w:cs="Times New Roman" w:eastAsia="Times New Roman" w:hAnsi="Times New Roman"/>
          <w:sz w:val="18"/>
          <w:szCs w:val="18"/>
          <w:color w:val="auto"/>
        </w:rPr>
      </w:pPr>
    </w:p>
    <w:p>
      <w:pPr>
        <w:jc w:val="both"/>
        <w:ind w:left="700" w:hanging="438"/>
        <w:spacing w:after="0" w:line="256" w:lineRule="auto"/>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1, 2018, the Company revised its definition of same-store sales growth to represent the estimated percentage change in sales of food of all restaurants in the Company system that have been open prior to the first day of our prior fiscal year, excluding the period during which stores are temporarily closed. We refer to these as our "base" stores. Previously, same-store sales growth represented the estimated percentage change in sales of all restaurants in the Company system that have been open for one year or more, including stores temporarily closed, and the base stores changed on a rolling basis from month to month. This revision was made to align with how management measures performance internally and focuses on trends of a more stable base of stores.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Unit Count by Brand</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KFC</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Company-owned</w:t>
            </w: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12/31/2025</w:t>
            </w:r>
          </w:p>
        </w:tc>
        <w:tc>
          <w:tcPr>
            <w:tcW w:w="120" w:type="dxa"/>
            <w:vAlign w:val="bottom"/>
          </w:tcPr>
          <w:p>
            <w:pPr>
              <w:spacing w:after="0"/>
              <w:rPr>
                <w:sz w:val="24"/>
                <w:szCs w:val="24"/>
                <w:color w:val="auto"/>
              </w:rPr>
            </w:pP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New Builds</w:t>
            </w:r>
          </w:p>
        </w:tc>
        <w:tc>
          <w:tcPr>
            <w:tcW w:w="140" w:type="dxa"/>
            <w:vAlign w:val="bottom"/>
          </w:tcPr>
          <w:p>
            <w:pPr>
              <w:spacing w:after="0"/>
              <w:rPr>
                <w:sz w:val="24"/>
                <w:szCs w:val="24"/>
                <w:color w:val="auto"/>
              </w:rPr>
            </w:pPr>
          </w:p>
        </w:tc>
        <w:tc>
          <w:tcPr>
            <w:tcW w:w="11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Closures</w:t>
            </w:r>
          </w:p>
        </w:tc>
        <w:tc>
          <w:tcPr>
            <w:tcW w:w="100" w:type="dxa"/>
            <w:vAlign w:val="bottom"/>
          </w:tcPr>
          <w:p>
            <w:pPr>
              <w:spacing w:after="0"/>
              <w:rPr>
                <w:sz w:val="24"/>
                <w:szCs w:val="24"/>
                <w:color w:val="auto"/>
              </w:rPr>
            </w:pP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Acquired</w:t>
            </w:r>
          </w:p>
        </w:tc>
        <w:tc>
          <w:tcPr>
            <w:tcW w:w="100" w:type="dxa"/>
            <w:vAlign w:val="bottom"/>
          </w:tcPr>
          <w:p>
            <w:pPr>
              <w:spacing w:after="0"/>
              <w:rPr>
                <w:sz w:val="24"/>
                <w:szCs w:val="24"/>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Refranchised</w:t>
            </w:r>
          </w:p>
        </w:tc>
        <w:tc>
          <w:tcPr>
            <w:tcW w:w="12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9/30/2026</w:t>
            </w:r>
          </w:p>
        </w:tc>
        <w:tc>
          <w:tcPr>
            <w:tcW w:w="0" w:type="dxa"/>
            <w:vAlign w:val="bottom"/>
          </w:tcPr>
          <w:p>
            <w:pPr>
              <w:spacing w:after="0"/>
              <w:rPr>
                <w:sz w:val="1"/>
                <w:szCs w:val="1"/>
                <w:color w:val="auto"/>
              </w:rPr>
            </w:pPr>
          </w:p>
        </w:tc>
      </w:tr>
      <w:tr>
        <w:trPr>
          <w:trHeight w:val="191"/>
        </w:trPr>
        <w:tc>
          <w:tcPr>
            <w:tcW w:w="3500" w:type="dxa"/>
            <w:vAlign w:val="bottom"/>
            <w:vMerge w:val="continue"/>
          </w:tcPr>
          <w:p>
            <w:pPr>
              <w:spacing w:after="0"/>
              <w:rPr>
                <w:sz w:val="16"/>
                <w:szCs w:val="16"/>
                <w:color w:val="auto"/>
              </w:rPr>
            </w:pPr>
          </w:p>
        </w:tc>
        <w:tc>
          <w:tcPr>
            <w:tcW w:w="1240" w:type="dxa"/>
            <w:vAlign w:val="bottom"/>
            <w:tcBorders>
              <w:top w:val="single" w:sz="8" w:color="auto"/>
            </w:tcBorders>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11,032</w:t>
            </w:r>
          </w:p>
        </w:tc>
        <w:tc>
          <w:tcPr>
            <w:tcW w:w="120" w:type="dxa"/>
            <w:vAlign w:val="bottom"/>
          </w:tcPr>
          <w:p>
            <w:pPr>
              <w:spacing w:after="0"/>
              <w:rPr>
                <w:sz w:val="16"/>
                <w:szCs w:val="16"/>
                <w:color w:val="auto"/>
              </w:rPr>
            </w:pPr>
          </w:p>
        </w:tc>
        <w:tc>
          <w:tcPr>
            <w:tcW w:w="124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1,013</w:t>
            </w:r>
          </w:p>
        </w:tc>
        <w:tc>
          <w:tcPr>
            <w:tcW w:w="140" w:type="dxa"/>
            <w:vAlign w:val="bottom"/>
          </w:tcPr>
          <w:p>
            <w:pPr>
              <w:spacing w:after="0"/>
              <w:rPr>
                <w:sz w:val="16"/>
                <w:szCs w:val="16"/>
                <w:color w:val="auto"/>
              </w:rPr>
            </w:pPr>
          </w:p>
        </w:tc>
        <w:tc>
          <w:tcPr>
            <w:tcW w:w="1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6"/>
                <w:szCs w:val="16"/>
                <w:color w:val="auto"/>
              </w:rPr>
            </w:pPr>
          </w:p>
        </w:tc>
        <w:tc>
          <w:tcPr>
            <w:tcW w:w="122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6"/>
                <w:szCs w:val="16"/>
                <w:color w:val="auto"/>
              </w:rPr>
            </w:pPr>
          </w:p>
        </w:tc>
        <w:tc>
          <w:tcPr>
            <w:tcW w:w="12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6"/>
                <w:szCs w:val="16"/>
                <w:color w:val="auto"/>
              </w:rPr>
            </w:pPr>
          </w:p>
        </w:tc>
        <w:tc>
          <w:tcPr>
            <w:tcW w:w="112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11,749</w:t>
            </w: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Franchisees</w:t>
            </w: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1,965</w:t>
            </w: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611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2,558</w:t>
            </w:r>
          </w:p>
        </w:tc>
        <w:tc>
          <w:tcPr>
            <w:tcW w:w="0" w:type="dxa"/>
            <w:vAlign w:val="bottom"/>
          </w:tcPr>
          <w:p>
            <w:pPr>
              <w:spacing w:after="0"/>
              <w:rPr>
                <w:sz w:val="1"/>
                <w:szCs w:val="1"/>
                <w:color w:val="auto"/>
              </w:rPr>
            </w:pPr>
          </w:p>
        </w:tc>
      </w:tr>
      <w:tr>
        <w:trPr>
          <w:trHeight w:val="20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12,997</w:t>
            </w:r>
          </w:p>
        </w:tc>
        <w:tc>
          <w:tcPr>
            <w:tcW w:w="1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1,624</w:t>
            </w:r>
          </w:p>
        </w:tc>
        <w:tc>
          <w:tcPr>
            <w:tcW w:w="14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14,307</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Pizza Hut</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Company-owned</w:t>
            </w:r>
          </w:p>
        </w:tc>
        <w:tc>
          <w:tcPr>
            <w:tcW w:w="14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12/31/2025</w:t>
            </w:r>
          </w:p>
        </w:tc>
        <w:tc>
          <w:tcPr>
            <w:tcW w:w="120" w:type="dxa"/>
            <w:vAlign w:val="bottom"/>
          </w:tcPr>
          <w:p>
            <w:pPr>
              <w:spacing w:after="0"/>
              <w:rPr>
                <w:sz w:val="24"/>
                <w:szCs w:val="24"/>
                <w:color w:val="auto"/>
              </w:rPr>
            </w:pP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New Builds</w:t>
            </w:r>
          </w:p>
        </w:tc>
        <w:tc>
          <w:tcPr>
            <w:tcW w:w="100" w:type="dxa"/>
            <w:vAlign w:val="bottom"/>
          </w:tcPr>
          <w:p>
            <w:pPr>
              <w:spacing w:after="0"/>
              <w:rPr>
                <w:sz w:val="24"/>
                <w:szCs w:val="24"/>
                <w:color w:val="auto"/>
              </w:rPr>
            </w:pPr>
          </w:p>
        </w:tc>
        <w:tc>
          <w:tcPr>
            <w:tcW w:w="15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Closures</w:t>
            </w:r>
          </w:p>
        </w:tc>
        <w:tc>
          <w:tcPr>
            <w:tcW w:w="16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9/30/2026</w:t>
            </w:r>
          </w:p>
        </w:tc>
        <w:tc>
          <w:tcPr>
            <w:tcW w:w="0" w:type="dxa"/>
            <w:vAlign w:val="bottom"/>
          </w:tcPr>
          <w:p>
            <w:pPr>
              <w:spacing w:after="0"/>
              <w:rPr>
                <w:sz w:val="1"/>
                <w:szCs w:val="1"/>
                <w:color w:val="auto"/>
              </w:rPr>
            </w:pPr>
          </w:p>
        </w:tc>
      </w:tr>
      <w:tr>
        <w:trPr>
          <w:trHeight w:val="191"/>
        </w:trPr>
        <w:tc>
          <w:tcPr>
            <w:tcW w:w="4920" w:type="dxa"/>
            <w:vAlign w:val="bottom"/>
            <w:vMerge w:val="continue"/>
          </w:tcPr>
          <w:p>
            <w:pPr>
              <w:spacing w:after="0"/>
              <w:rPr>
                <w:sz w:val="16"/>
                <w:szCs w:val="16"/>
                <w:color w:val="auto"/>
              </w:rPr>
            </w:pPr>
          </w:p>
        </w:tc>
        <w:tc>
          <w:tcPr>
            <w:tcW w:w="148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3,830</w:t>
            </w:r>
          </w:p>
        </w:tc>
        <w:tc>
          <w:tcPr>
            <w:tcW w:w="120" w:type="dxa"/>
            <w:vAlign w:val="bottom"/>
          </w:tcPr>
          <w:p>
            <w:pPr>
              <w:spacing w:after="0"/>
              <w:rPr>
                <w:sz w:val="16"/>
                <w:szCs w:val="16"/>
                <w:color w:val="auto"/>
              </w:rPr>
            </w:pPr>
          </w:p>
        </w:tc>
        <w:tc>
          <w:tcPr>
            <w:tcW w:w="148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16"/>
                <w:szCs w:val="16"/>
                <w:color w:val="auto"/>
              </w:rPr>
            </w:pPr>
          </w:p>
        </w:tc>
        <w:tc>
          <w:tcPr>
            <w:tcW w:w="15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16"/>
                <w:szCs w:val="16"/>
                <w:color w:val="auto"/>
              </w:rPr>
            </w:pPr>
          </w:p>
        </w:tc>
        <w:tc>
          <w:tcPr>
            <w:tcW w:w="152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4,136</w:t>
            </w: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Franchisees</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338</w:t>
            </w:r>
          </w:p>
        </w:tc>
        <w:tc>
          <w:tcPr>
            <w:tcW w:w="1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275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1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4,168</w:t>
            </w:r>
          </w:p>
        </w:tc>
        <w:tc>
          <w:tcPr>
            <w:tcW w:w="1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4,740</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Others</w:t>
            </w: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2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Company-owned</w:t>
            </w:r>
          </w:p>
        </w:tc>
        <w:tc>
          <w:tcPr>
            <w:tcW w:w="14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12/31/2025</w:t>
            </w:r>
          </w:p>
        </w:tc>
        <w:tc>
          <w:tcPr>
            <w:tcW w:w="120" w:type="dxa"/>
            <w:vAlign w:val="bottom"/>
          </w:tcPr>
          <w:p>
            <w:pPr>
              <w:spacing w:after="0"/>
              <w:rPr>
                <w:sz w:val="24"/>
                <w:szCs w:val="24"/>
                <w:color w:val="auto"/>
              </w:rPr>
            </w:pPr>
          </w:p>
        </w:tc>
        <w:tc>
          <w:tcPr>
            <w:tcW w:w="14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New Builds</w:t>
            </w:r>
          </w:p>
        </w:tc>
        <w:tc>
          <w:tcPr>
            <w:tcW w:w="100" w:type="dxa"/>
            <w:vAlign w:val="bottom"/>
          </w:tcPr>
          <w:p>
            <w:pPr>
              <w:spacing w:after="0"/>
              <w:rPr>
                <w:sz w:val="24"/>
                <w:szCs w:val="24"/>
                <w:color w:val="auto"/>
              </w:rPr>
            </w:pPr>
          </w:p>
        </w:tc>
        <w:tc>
          <w:tcPr>
            <w:tcW w:w="15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Closures</w:t>
            </w:r>
          </w:p>
        </w:tc>
        <w:tc>
          <w:tcPr>
            <w:tcW w:w="16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9/30/2026</w:t>
            </w:r>
          </w:p>
        </w:tc>
        <w:tc>
          <w:tcPr>
            <w:tcW w:w="0" w:type="dxa"/>
            <w:vAlign w:val="bottom"/>
          </w:tcPr>
          <w:p>
            <w:pPr>
              <w:spacing w:after="0"/>
              <w:rPr>
                <w:sz w:val="1"/>
                <w:szCs w:val="1"/>
                <w:color w:val="auto"/>
              </w:rPr>
            </w:pPr>
          </w:p>
        </w:tc>
      </w:tr>
      <w:tr>
        <w:trPr>
          <w:trHeight w:val="191"/>
        </w:trPr>
        <w:tc>
          <w:tcPr>
            <w:tcW w:w="4920" w:type="dxa"/>
            <w:vAlign w:val="bottom"/>
            <w:vMerge w:val="continue"/>
          </w:tcPr>
          <w:p>
            <w:pPr>
              <w:spacing w:after="0"/>
              <w:rPr>
                <w:sz w:val="16"/>
                <w:szCs w:val="16"/>
                <w:color w:val="auto"/>
              </w:rPr>
            </w:pPr>
          </w:p>
        </w:tc>
        <w:tc>
          <w:tcPr>
            <w:tcW w:w="148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6"/>
                <w:szCs w:val="16"/>
                <w:color w:val="auto"/>
              </w:rPr>
            </w:pPr>
          </w:p>
        </w:tc>
        <w:tc>
          <w:tcPr>
            <w:tcW w:w="148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6"/>
                <w:szCs w:val="16"/>
                <w:color w:val="auto"/>
              </w:rPr>
            </w:pPr>
          </w:p>
        </w:tc>
        <w:tc>
          <w:tcPr>
            <w:tcW w:w="15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6"/>
                <w:szCs w:val="16"/>
                <w:color w:val="auto"/>
              </w:rPr>
            </w:pPr>
          </w:p>
        </w:tc>
        <w:tc>
          <w:tcPr>
            <w:tcW w:w="152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Franchisees</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738</w:t>
            </w:r>
          </w:p>
        </w:tc>
        <w:tc>
          <w:tcPr>
            <w:tcW w:w="1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1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936</w:t>
            </w:r>
          </w:p>
        </w:tc>
        <w:tc>
          <w:tcPr>
            <w:tcW w:w="1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942</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1"/>
        </w:trPr>
        <w:tc>
          <w:tcPr>
            <w:tcW w:w="49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Reported GAAP Results to Non-GAAP Measures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to the results provided in accordance with U.S. Generally Accepted Accounting Principles (“GAAP”) in this press release, the Company provides the following non-GAAP measures:</w:t>
      </w:r>
    </w:p>
    <w:p>
      <w:pPr>
        <w:spacing w:after="0" w:line="121" w:lineRule="exact"/>
        <w:rPr>
          <w:sz w:val="20"/>
          <w:szCs w:val="20"/>
          <w:color w:val="auto"/>
        </w:rPr>
      </w:pPr>
    </w:p>
    <w:p>
      <w:pPr>
        <w:ind w:left="1020" w:right="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Measures adjusted for Special Items, which include Adjusted Operating Profit, Adjusted Net Income, Adjusted Earnings Per Common Share ("EPS"), Adjusted Effective Tax Rate and Adjusted EBITDA;</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Restaurant Profit ("Restaurant profit") and Restaurant margin;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Operating Profit and Core OP margin, which exclude Special Items, and further adjusted for Items Affecting Comparability and the impact of F/X;</w:t>
      </w:r>
    </w:p>
    <w:p>
      <w:pPr>
        <w:spacing w:after="0" w:line="3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non-GAAP measures are not intended to replace the presentation of our financial results in accordance with GAAP. Rather, the Company believes that the presentation of these non-GAAP measures provides additional information to investors to facilitate the comparison of past and present results, excluding those items that the Company does not believe are indicative of our core operations.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non-GAAP measures adjusted for Special Items, the Company excludes impact from Special Items for the purpose of evaluating performance internally and uses them as factors in determining compensation for certain employees. Special Items are not included in any of our segment results.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Adjusted EBITDA is defined as net income including noncontrolling interests adjusted for equity in net earnings (losses) from equity method investments, income tax, interest income, net, investment gain or loss, depreciation and amortization, store impairment charges, and Special Items. Store impairment charges included as an adjustment item in Adjusted EBITDA primarily resulted from our semi-annual impairment evaluation of long-lived assets of individual restaurants, and additional impairment evaluation whenever events or changes in circumstances indicate that the carrying value of the assets may not be recoverable. If these restaurant-level assets were not impaired, depreciation of the assets would have been recorded and included in EBITDA. Therefore, store impairment charges were a non-cash item similar to depreciation and amortization of our long-lived assets of restaurants. The Company believes that investors and analysts may find it useful in measuring operating performance without regard to such non-cash items.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Restaurant Profit is defined as Company sales less expenses incurred directly by our Company-owned restaurants in generating Company sales, including cost of food and paper, restaurant-level payroll and employee benefits, rent, depreciation and amortization of restaurant-level assets, advertising expenses, and other operating expenses. Company restaurant margin percentage is defined as Restaurant profit divided by Company sales. We also use Restaurant profit and Restaurant margin for the purposes of internally evaluating the performance of our Company-owned restaurants and we believe they provide useful information to investors as to the profitability of our Company-owned restaurants.</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Core Operating Profit is defined as Operating Profit adjusted for Special Items, and further excluding Items Affecting Comparability and the impact of F/X. We consider quantitative and qualitative factors in assessing whether to adjust for the impact of items that may be significant or that could affect an understanding of our ongoing financial and business performance or trends. Items such as charges, gains and accounting changes which are viewed by management as significantly impacting the current period or the comparable period, due to changes in policy or other external factors, or non-cash items pertaining to underlying activities that are different from or unrelated to our core operations, are generally considered “Items Affecting Comparability.” Examples of Items Affecting Comparability include, but are not limited to: temporary relief from landlords and government agencies; VAT deductions due to tax policy changes; and amortization of reacquired franchise rights recognized upon acquisitions. We believe presenting Core Operating Profit provides additional information to further enhance comparability of our operating results and we use this measure for purposes of evaluating the performance of our core operations. Core OP margin is defined as Core Operating Profit divided by Total revenues, excluding the impact of F/X.</w:t>
      </w:r>
    </w:p>
    <w:p>
      <w:pPr>
        <w:spacing w:after="0" w:line="200" w:lineRule="exact"/>
        <w:rPr>
          <w:sz w:val="20"/>
          <w:szCs w:val="20"/>
          <w:color w:val="auto"/>
        </w:rPr>
      </w:pPr>
    </w:p>
    <w:p>
      <w:pPr>
        <w:spacing w:after="0" w:line="3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reconciliation of the most directly comparable GAAP financial measures to the non-GAAP financial measures. The reconciliation of GAAP Operating Profit to Restaurant Profit and Core Operating Profit by segment is presented in Segment Results within this release.</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Year to Date Ended</w:t>
            </w:r>
          </w:p>
        </w:tc>
        <w:tc>
          <w:tcPr>
            <w:tcW w:w="0" w:type="dxa"/>
            <w:vAlign w:val="bottom"/>
          </w:tcPr>
          <w:p>
            <w:pPr>
              <w:spacing w:after="0"/>
              <w:rPr>
                <w:sz w:val="1"/>
                <w:szCs w:val="1"/>
                <w:color w:val="auto"/>
              </w:rPr>
            </w:pPr>
          </w:p>
        </w:tc>
      </w:tr>
      <w:tr>
        <w:trPr>
          <w:trHeight w:val="209"/>
        </w:trPr>
        <w:tc>
          <w:tcPr>
            <w:tcW w:w="5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9/30/2026</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9/30/2025</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9/30/2026</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9/30/2025</w:t>
            </w:r>
          </w:p>
        </w:tc>
        <w:tc>
          <w:tcPr>
            <w:tcW w:w="0" w:type="dxa"/>
            <w:vAlign w:val="bottom"/>
          </w:tcPr>
          <w:p>
            <w:pPr>
              <w:spacing w:after="0"/>
              <w:rPr>
                <w:sz w:val="1"/>
                <w:szCs w:val="1"/>
                <w:color w:val="auto"/>
              </w:rPr>
            </w:pPr>
          </w:p>
        </w:tc>
      </w:tr>
      <w:tr>
        <w:trPr>
          <w:trHeight w:val="407"/>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Operating Profit to Adjusted Operating Profit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451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1,246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1,103</w:t>
            </w:r>
          </w:p>
        </w:tc>
        <w:tc>
          <w:tcPr>
            <w:tcW w:w="0" w:type="dxa"/>
            <w:vAlign w:val="bottom"/>
          </w:tcPr>
          <w:p>
            <w:pPr>
              <w:spacing w:after="0"/>
              <w:rPr>
                <w:sz w:val="1"/>
                <w:szCs w:val="1"/>
                <w:color w:val="auto"/>
              </w:rPr>
            </w:pP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Special Items, Operating Profit</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Adjusted Operating Profit</w:t>
            </w: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451</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400</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1,246</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1,103</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Income to Adjusted Net Income</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8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Income – Yum China Holdings, Inc.</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311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864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Special Items, Net Income –Yum China Holdings, Inc.</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 – Yum China Holdings, Inc.</w:t>
            </w: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282</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864</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EPS to Adjusted EPS</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8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0.91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0.76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Special Items, Basic Earnings Per Common Share</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Adjusted Basic Earnings Per Common Share</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0.91</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0.76</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2.49</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8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2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90"/>
              <w:spacing w:after="0" w:line="178" w:lineRule="exact"/>
              <w:rPr>
                <w:sz w:val="20"/>
                <w:szCs w:val="20"/>
                <w:color w:val="auto"/>
              </w:rPr>
            </w:pPr>
            <w:r>
              <w:rPr>
                <w:rFonts w:ascii="Times New Roman" w:cs="Times New Roman" w:eastAsia="Times New Roman" w:hAnsi="Times New Roman"/>
                <w:sz w:val="18"/>
                <w:szCs w:val="18"/>
                <w:color w:val="auto"/>
              </w:rPr>
              <w:t>0.91</w:t>
            </w:r>
          </w:p>
        </w:tc>
        <w:tc>
          <w:tcPr>
            <w:tcW w:w="160" w:type="dxa"/>
            <w:vAlign w:val="bottom"/>
            <w:vMerge w:val="continue"/>
          </w:tcPr>
          <w:p>
            <w:pPr>
              <w:spacing w:after="0"/>
              <w:rPr>
                <w:sz w:val="15"/>
                <w:szCs w:val="15"/>
                <w:color w:val="auto"/>
              </w:rPr>
            </w:pPr>
          </w:p>
        </w:tc>
        <w:tc>
          <w:tcPr>
            <w:tcW w:w="12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90"/>
              <w:spacing w:after="0" w:line="178" w:lineRule="exact"/>
              <w:rPr>
                <w:sz w:val="20"/>
                <w:szCs w:val="20"/>
                <w:color w:val="auto"/>
              </w:rPr>
            </w:pPr>
            <w:r>
              <w:rPr>
                <w:rFonts w:ascii="Times New Roman" w:cs="Times New Roman" w:eastAsia="Times New Roman" w:hAnsi="Times New Roman"/>
                <w:sz w:val="18"/>
                <w:szCs w:val="18"/>
                <w:color w:val="auto"/>
              </w:rPr>
              <w:t>0.76</w:t>
            </w:r>
          </w:p>
        </w:tc>
        <w:tc>
          <w:tcPr>
            <w:tcW w:w="140" w:type="dxa"/>
            <w:vAlign w:val="bottom"/>
            <w:vMerge w:val="continue"/>
          </w:tcPr>
          <w:p>
            <w:pPr>
              <w:spacing w:after="0"/>
              <w:rPr>
                <w:sz w:val="15"/>
                <w:szCs w:val="15"/>
                <w:color w:val="auto"/>
              </w:rPr>
            </w:pPr>
          </w:p>
        </w:tc>
        <w:tc>
          <w:tcPr>
            <w:tcW w:w="14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90"/>
              <w:spacing w:after="0" w:line="178" w:lineRule="exact"/>
              <w:rPr>
                <w:sz w:val="20"/>
                <w:szCs w:val="20"/>
                <w:color w:val="auto"/>
              </w:rPr>
            </w:pPr>
            <w:r>
              <w:rPr>
                <w:rFonts w:ascii="Times New Roman" w:cs="Times New Roman" w:eastAsia="Times New Roman" w:hAnsi="Times New Roman"/>
                <w:sz w:val="18"/>
                <w:szCs w:val="18"/>
                <w:color w:val="auto"/>
              </w:rPr>
              <w:t>2.48</w:t>
            </w:r>
          </w:p>
        </w:tc>
        <w:tc>
          <w:tcPr>
            <w:tcW w:w="160" w:type="dxa"/>
            <w:vAlign w:val="bottom"/>
            <w:vMerge w:val="continue"/>
          </w:tcPr>
          <w:p>
            <w:pPr>
              <w:spacing w:after="0"/>
              <w:rPr>
                <w:sz w:val="15"/>
                <w:szCs w:val="15"/>
                <w:color w:val="auto"/>
              </w:rPr>
            </w:pPr>
          </w:p>
        </w:tc>
        <w:tc>
          <w:tcPr>
            <w:tcW w:w="12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90"/>
              <w:spacing w:after="0" w:line="178" w:lineRule="exact"/>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Special Items, Diluted Earnings Per Common Share</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Adjusted Diluted Earnings Per Common Share</w:t>
            </w: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0.91</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0.76</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2.48</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Effective Tax Rate to Adjusted Effective Tax Rate</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8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Impact on effective tax rate as a result of Special Items</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Adjusted effective tax rate</w:t>
            </w: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along with the reconciliation to Adjusted EBITDA,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Year to Date Ended</w:t>
            </w:r>
          </w:p>
        </w:tc>
      </w:tr>
      <w:tr>
        <w:trPr>
          <w:trHeight w:val="209"/>
        </w:trPr>
        <w:tc>
          <w:tcPr>
            <w:tcW w:w="6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8"/>
              </w:rPr>
              <w:t>9/30/2026</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9/30/2025</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9/30/2026</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9/30/2025</w:t>
            </w:r>
          </w:p>
        </w:tc>
      </w:tr>
      <w:tr>
        <w:trPr>
          <w:trHeight w:val="407"/>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Net Income – Yum China Holdings, Inc.</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864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789</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Net income – noncontrolling interests</w:t>
            </w: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Equity in net (earnings) losses from equity method investments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313</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4"/>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Investment (gain) loss</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r>
      <w:tr>
        <w:trPr>
          <w:trHeight w:val="191"/>
        </w:trPr>
        <w:tc>
          <w:tcPr>
            <w:tcW w:w="6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Operating Profit</w:t>
            </w:r>
          </w:p>
        </w:tc>
        <w:tc>
          <w:tcPr>
            <w:tcW w:w="120" w:type="dxa"/>
            <w:vAlign w:val="bottom"/>
          </w:tcPr>
          <w:p>
            <w:pPr>
              <w:spacing w:after="0"/>
              <w:rPr>
                <w:sz w:val="16"/>
                <w:szCs w:val="16"/>
                <w:color w:val="auto"/>
              </w:rPr>
            </w:pPr>
          </w:p>
        </w:tc>
        <w:tc>
          <w:tcPr>
            <w:tcW w:w="10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451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400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1,246</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1,103</w:t>
            </w:r>
          </w:p>
        </w:tc>
      </w:tr>
      <w:tr>
        <w:trPr>
          <w:trHeight w:val="234"/>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Special Items, Operating Profit</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191"/>
        </w:trPr>
        <w:tc>
          <w:tcPr>
            <w:tcW w:w="6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Adjusted Operating Profit</w:t>
            </w:r>
          </w:p>
        </w:tc>
        <w:tc>
          <w:tcPr>
            <w:tcW w:w="120" w:type="dxa"/>
            <w:vAlign w:val="bottom"/>
          </w:tcPr>
          <w:p>
            <w:pPr>
              <w:spacing w:after="0"/>
              <w:rPr>
                <w:sz w:val="16"/>
                <w:szCs w:val="16"/>
                <w:color w:val="auto"/>
              </w:rPr>
            </w:pPr>
          </w:p>
        </w:tc>
        <w:tc>
          <w:tcPr>
            <w:tcW w:w="10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451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400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1,246</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1,103</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333</w:t>
            </w:r>
          </w:p>
        </w:tc>
      </w:tr>
      <w:tr>
        <w:trPr>
          <w:trHeight w:val="234"/>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Store impairment charges</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r>
      <w:tr>
        <w:trPr>
          <w:trHeight w:val="21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578</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520</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1,628</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1,461</w:t>
            </w:r>
          </w:p>
        </w:tc>
      </w:tr>
      <w:tr>
        <w:trPr>
          <w:trHeight w:val="20"/>
        </w:trPr>
        <w:tc>
          <w:tcPr>
            <w:tcW w:w="6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Operating Profit, along with the reconciliation to Core Operating Profit, is presented below:</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Year to Date Ended</w:t>
            </w:r>
          </w:p>
        </w:tc>
        <w:tc>
          <w:tcPr>
            <w:tcW w:w="120" w:type="dxa"/>
            <w:vAlign w:val="bottom"/>
          </w:tcPr>
          <w:p>
            <w:pPr>
              <w:spacing w:after="0"/>
              <w:rPr>
                <w:sz w:val="24"/>
                <w:szCs w:val="24"/>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8"/>
              </w:rPr>
              <w:t>9/30/2026</w:t>
            </w:r>
          </w:p>
        </w:tc>
        <w:tc>
          <w:tcPr>
            <w:tcW w:w="120" w:type="dxa"/>
            <w:vAlign w:val="bottom"/>
          </w:tcPr>
          <w:p>
            <w:pPr>
              <w:spacing w:after="0"/>
              <w:rPr>
                <w:sz w:val="18"/>
                <w:szCs w:val="18"/>
                <w:color w:val="auto"/>
              </w:rPr>
            </w:pPr>
          </w:p>
        </w:tc>
        <w:tc>
          <w:tcPr>
            <w:tcW w:w="116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9/30/2025</w:t>
            </w:r>
          </w:p>
        </w:tc>
        <w:tc>
          <w:tcPr>
            <w:tcW w:w="100" w:type="dxa"/>
            <w:vAlign w:val="bottom"/>
          </w:tcPr>
          <w:p>
            <w:pPr>
              <w:spacing w:after="0"/>
              <w:rPr>
                <w:sz w:val="18"/>
                <w:szCs w:val="18"/>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B/(W)</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8"/>
              </w:rPr>
              <w:t>9/30/2026</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9/30/2025</w:t>
            </w:r>
          </w:p>
        </w:tc>
        <w:tc>
          <w:tcPr>
            <w:tcW w:w="1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B/(W)</w:t>
            </w:r>
          </w:p>
        </w:tc>
        <w:tc>
          <w:tcPr>
            <w:tcW w:w="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451</w:t>
            </w:r>
          </w:p>
        </w:tc>
        <w:tc>
          <w:tcPr>
            <w:tcW w:w="600" w:type="dxa"/>
            <w:vAlign w:val="bottom"/>
            <w:gridSpan w:val="2"/>
          </w:tcPr>
          <w:p>
            <w:pPr>
              <w:jc w:val="right"/>
              <w:ind w:right="31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1,246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1,103</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Special Items, Operating Profit</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Adjusted Operating Profit</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1,246</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1,103</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Items Affecting Comparability</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F/X impact</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Core Operating Profit</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1,174</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1,103</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3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90"/>
              <w:spacing w:after="0" w:line="178" w:lineRule="exact"/>
              <w:rPr>
                <w:sz w:val="20"/>
                <w:szCs w:val="20"/>
                <w:color w:val="auto"/>
              </w:rPr>
            </w:pPr>
            <w:r>
              <w:rPr>
                <w:rFonts w:ascii="Times New Roman" w:cs="Times New Roman" w:eastAsia="Times New Roman" w:hAnsi="Times New Roman"/>
                <w:sz w:val="18"/>
                <w:szCs w:val="18"/>
                <w:color w:val="auto"/>
              </w:rPr>
              <w:t>3,477</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jc w:val="right"/>
              <w:ind w:right="110"/>
              <w:spacing w:after="0" w:line="178" w:lineRule="exact"/>
              <w:rPr>
                <w:sz w:val="20"/>
                <w:szCs w:val="20"/>
                <w:color w:val="auto"/>
              </w:rPr>
            </w:pPr>
            <w:r>
              <w:rPr>
                <w:rFonts w:ascii="Times New Roman" w:cs="Times New Roman" w:eastAsia="Times New Roman" w:hAnsi="Times New Roman"/>
                <w:sz w:val="18"/>
                <w:szCs w:val="18"/>
                <w:color w:val="auto"/>
              </w:rPr>
              <w:t>3,206</w:t>
            </w:r>
          </w:p>
        </w:tc>
        <w:tc>
          <w:tcPr>
            <w:tcW w:w="72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90"/>
              <w:spacing w:after="0" w:line="178" w:lineRule="exact"/>
              <w:rPr>
                <w:sz w:val="20"/>
                <w:szCs w:val="20"/>
                <w:color w:val="auto"/>
              </w:rPr>
            </w:pPr>
            <w:r>
              <w:rPr>
                <w:rFonts w:ascii="Times New Roman" w:cs="Times New Roman" w:eastAsia="Times New Roman" w:hAnsi="Times New Roman"/>
                <w:sz w:val="18"/>
                <w:szCs w:val="18"/>
                <w:color w:val="auto"/>
              </w:rPr>
              <w:t>9,886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90"/>
              <w:spacing w:after="0" w:line="178" w:lineRule="exact"/>
              <w:rPr>
                <w:sz w:val="20"/>
                <w:szCs w:val="20"/>
                <w:color w:val="auto"/>
              </w:rPr>
            </w:pPr>
            <w:r>
              <w:rPr>
                <w:rFonts w:ascii="Times New Roman" w:cs="Times New Roman" w:eastAsia="Times New Roman" w:hAnsi="Times New Roman"/>
                <w:sz w:val="18"/>
                <w:szCs w:val="18"/>
                <w:color w:val="auto"/>
              </w:rPr>
              <w:t>8,974</w:t>
            </w:r>
          </w:p>
        </w:tc>
        <w:tc>
          <w:tcPr>
            <w:tcW w:w="100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F/X impact</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(545)</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 excluding the impact of F/X</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3,274</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3,206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9,341</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8,974</w:t>
            </w:r>
          </w:p>
        </w:tc>
        <w:tc>
          <w:tcPr>
            <w:tcW w:w="10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Core OP margin</w:t>
            </w: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ppts.</w:t>
            </w: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ppts.</w:t>
            </w:r>
          </w:p>
        </w:tc>
        <w:tc>
          <w:tcPr>
            <w:tcW w:w="0" w:type="dxa"/>
            <w:vAlign w:val="bottom"/>
          </w:tcPr>
          <w:p>
            <w:pPr>
              <w:spacing w:after="0" w:line="20" w:lineRule="exact"/>
              <w:rPr>
                <w:sz w:val="1"/>
                <w:szCs w:val="1"/>
                <w:color w:val="auto"/>
              </w:rPr>
            </w:pPr>
          </w:p>
        </w:tc>
      </w:tr>
      <w:tr>
        <w:trPr>
          <w:trHeight w:val="215"/>
        </w:trPr>
        <w:tc>
          <w:tcPr>
            <w:tcW w:w="33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720" w:type="dxa"/>
            <w:vAlign w:val="bottom"/>
            <w:gridSpan w:val="2"/>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0" w:type="dxa"/>
            <w:vAlign w:val="bottom"/>
            <w:gridSpan w:val="2"/>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3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1"/>
        </w:trPr>
        <w:tc>
          <w:tcPr>
            <w:tcW w:w="3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Yum China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million)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Quarter Ended 9/30/2026</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183"/>
        </w:trPr>
        <w:tc>
          <w:tcPr>
            <w:tcW w:w="4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9"/>
        </w:trPr>
        <w:tc>
          <w:tcPr>
            <w:tcW w:w="4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and</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2"/>
        </w:trPr>
        <w:tc>
          <w:tcPr>
            <w:tcW w:w="4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KFC</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Pizza Hut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120" w:type="dxa"/>
            <w:vAlign w:val="bottom"/>
          </w:tcPr>
          <w:p>
            <w:pPr>
              <w:spacing w:after="0"/>
              <w:rPr>
                <w:sz w:val="20"/>
                <w:szCs w:val="20"/>
                <w:color w:val="auto"/>
              </w:rPr>
            </w:pPr>
          </w:p>
        </w:tc>
        <w:tc>
          <w:tcPr>
            <w:tcW w:w="1200" w:type="dxa"/>
            <w:vAlign w:val="bottom"/>
            <w:tcBorders>
              <w:bottom w:val="single" w:sz="8" w:color="auto"/>
            </w:tcBorders>
            <w:gridSpan w:val="2"/>
          </w:tcPr>
          <w:p>
            <w:pPr>
              <w:jc w:val="center"/>
              <w:ind w:right="39"/>
              <w:spacing w:after="0" w:line="232" w:lineRule="exact"/>
              <w:rPr>
                <w:sz w:val="20"/>
                <w:szCs w:val="20"/>
                <w:color w:val="auto"/>
              </w:rPr>
            </w:pPr>
            <w:r>
              <w:rPr>
                <w:rFonts w:ascii="Times New Roman" w:cs="Times New Roman" w:eastAsia="Times New Roman" w:hAnsi="Times New Roman"/>
                <w:sz w:val="16"/>
                <w:szCs w:val="16"/>
                <w:b w:val="1"/>
                <w:bCs w:val="1"/>
                <w:color w:val="auto"/>
                <w:w w:val="97"/>
              </w:rPr>
              <w:t>Unallocated</w:t>
            </w:r>
            <w:r>
              <w:rPr>
                <w:rFonts w:ascii="Times New Roman" w:cs="Times New Roman" w:eastAsia="Times New Roman" w:hAnsi="Times New Roman"/>
                <w:sz w:val="21"/>
                <w:szCs w:val="21"/>
                <w:b w:val="1"/>
                <w:bCs w:val="1"/>
                <w:color w:val="auto"/>
                <w:w w:val="97"/>
                <w:vertAlign w:val="superscript"/>
              </w:rPr>
              <w:t>(1)</w:t>
            </w:r>
          </w:p>
        </w:tc>
        <w:tc>
          <w:tcPr>
            <w:tcW w:w="120" w:type="dxa"/>
            <w:vAlign w:val="bottom"/>
          </w:tcPr>
          <w:p>
            <w:pPr>
              <w:spacing w:after="0"/>
              <w:rPr>
                <w:sz w:val="20"/>
                <w:szCs w:val="20"/>
                <w:color w:val="auto"/>
              </w:rPr>
            </w:pPr>
          </w:p>
        </w:tc>
        <w:tc>
          <w:tcPr>
            <w:tcW w:w="106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Elimination</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2"/>
        </w:trPr>
        <w:tc>
          <w:tcPr>
            <w:tcW w:w="418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Company sales</w:t>
            </w:r>
          </w:p>
        </w:tc>
        <w:tc>
          <w:tcPr>
            <w:tcW w:w="20" w:type="dxa"/>
            <w:vAlign w:val="bottom"/>
          </w:tcPr>
          <w:p>
            <w:pPr>
              <w:spacing w:after="0"/>
              <w:rPr>
                <w:sz w:val="15"/>
                <w:szCs w:val="15"/>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2,547</w:t>
            </w:r>
          </w:p>
        </w:tc>
        <w:tc>
          <w:tcPr>
            <w:tcW w:w="100" w:type="dxa"/>
            <w:vAlign w:val="bottom"/>
          </w:tcPr>
          <w:p>
            <w:pPr>
              <w:spacing w:after="0"/>
              <w:rPr>
                <w:sz w:val="15"/>
                <w:szCs w:val="15"/>
                <w:color w:val="auto"/>
              </w:rPr>
            </w:pPr>
          </w:p>
        </w:tc>
        <w:tc>
          <w:tcPr>
            <w:tcW w:w="1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654</w:t>
            </w:r>
          </w:p>
        </w:tc>
        <w:tc>
          <w:tcPr>
            <w:tcW w:w="120" w:type="dxa"/>
            <w:vAlign w:val="bottom"/>
          </w:tcPr>
          <w:p>
            <w:pPr>
              <w:spacing w:after="0"/>
              <w:rPr>
                <w:sz w:val="15"/>
                <w:szCs w:val="15"/>
                <w:color w:val="auto"/>
              </w:rPr>
            </w:pPr>
          </w:p>
        </w:tc>
        <w:tc>
          <w:tcPr>
            <w:tcW w:w="1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5"/>
                <w:szCs w:val="15"/>
                <w:color w:val="auto"/>
              </w:rPr>
            </w:pPr>
          </w:p>
        </w:tc>
        <w:tc>
          <w:tcPr>
            <w:tcW w:w="1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360" w:type="dxa"/>
            <w:vAlign w:val="bottom"/>
          </w:tcPr>
          <w:p>
            <w:pPr>
              <w:jc w:val="right"/>
              <w:ind w:right="199"/>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20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ind w:right="59"/>
              <w:spacing w:after="0" w:line="182" w:lineRule="exact"/>
              <w:rPr>
                <w:sz w:val="20"/>
                <w:szCs w:val="20"/>
                <w:color w:val="auto"/>
              </w:rPr>
            </w:pPr>
            <w:r>
              <w:rPr>
                <w:rFonts w:ascii="Times New Roman" w:cs="Times New Roman" w:eastAsia="Times New Roman" w:hAnsi="Times New Roman"/>
                <w:sz w:val="16"/>
                <w:szCs w:val="16"/>
                <w:color w:val="auto"/>
              </w:rPr>
              <w:t>3,214</w:t>
            </w:r>
          </w:p>
        </w:tc>
      </w:tr>
      <w:tr>
        <w:trPr>
          <w:trHeight w:val="189"/>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Franchise fees and income</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32</w:t>
            </w:r>
          </w:p>
        </w:tc>
      </w:tr>
      <w:tr>
        <w:trPr>
          <w:trHeight w:val="216"/>
        </w:trPr>
        <w:tc>
          <w:tcPr>
            <w:tcW w:w="4180" w:type="dxa"/>
            <w:vAlign w:val="bottom"/>
          </w:tcPr>
          <w:p>
            <w:pPr>
              <w:spacing w:after="0" w:line="217" w:lineRule="exact"/>
              <w:rPr>
                <w:sz w:val="20"/>
                <w:szCs w:val="20"/>
                <w:color w:val="auto"/>
              </w:rPr>
            </w:pPr>
            <w:r>
              <w:rPr>
                <w:rFonts w:ascii="Times New Roman" w:cs="Times New Roman" w:eastAsia="Times New Roman" w:hAnsi="Times New Roman"/>
                <w:sz w:val="16"/>
                <w:szCs w:val="16"/>
                <w:color w:val="auto"/>
              </w:rPr>
              <w:t>Revenues from transactions with franchisees</w:t>
            </w:r>
            <w:r>
              <w:rPr>
                <w:rFonts w:ascii="Times New Roman" w:cs="Times New Roman" w:eastAsia="Times New Roman" w:hAnsi="Times New Roman"/>
                <w:sz w:val="21"/>
                <w:szCs w:val="21"/>
                <w:color w:val="auto"/>
                <w:vertAlign w:val="superscript"/>
              </w:rPr>
              <w:t>(2)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183</w:t>
            </w:r>
          </w:p>
        </w:tc>
      </w:tr>
      <w:tr>
        <w:trPr>
          <w:trHeight w:val="210"/>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Other revenues</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48</w:t>
            </w:r>
          </w:p>
        </w:tc>
      </w:tr>
      <w:tr>
        <w:trPr>
          <w:trHeight w:val="202"/>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20" w:type="dxa"/>
            <w:vAlign w:val="bottom"/>
          </w:tcPr>
          <w:p>
            <w:pPr>
              <w:spacing w:after="0"/>
              <w:rPr>
                <w:sz w:val="17"/>
                <w:szCs w:val="17"/>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2,597</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665</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307</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3,477</w:t>
            </w:r>
          </w:p>
        </w:tc>
      </w:tr>
      <w:tr>
        <w:trPr>
          <w:trHeight w:val="182"/>
        </w:trPr>
        <w:tc>
          <w:tcPr>
            <w:tcW w:w="418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Company restaurant expenses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2,074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554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59"/>
              <w:spacing w:after="0" w:line="182" w:lineRule="exact"/>
              <w:rPr>
                <w:sz w:val="20"/>
                <w:szCs w:val="20"/>
                <w:color w:val="auto"/>
              </w:rPr>
            </w:pPr>
            <w:r>
              <w:rPr>
                <w:rFonts w:ascii="Times New Roman" w:cs="Times New Roman" w:eastAsia="Times New Roman" w:hAnsi="Times New Roman"/>
                <w:sz w:val="16"/>
                <w:szCs w:val="16"/>
                <w:color w:val="auto"/>
              </w:rPr>
              <w:t>2,640</w:t>
            </w:r>
          </w:p>
        </w:tc>
      </w:tr>
      <w:tr>
        <w:trPr>
          <w:trHeight w:val="20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155</w:t>
            </w:r>
          </w:p>
        </w:tc>
      </w:tr>
      <w:tr>
        <w:trPr>
          <w:trHeight w:val="189"/>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Franchise expenses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w:t>
            </w:r>
          </w:p>
        </w:tc>
      </w:tr>
      <w:tr>
        <w:trPr>
          <w:trHeight w:val="216"/>
        </w:trPr>
        <w:tc>
          <w:tcPr>
            <w:tcW w:w="4180" w:type="dxa"/>
            <w:vAlign w:val="bottom"/>
          </w:tcPr>
          <w:p>
            <w:pPr>
              <w:spacing w:after="0" w:line="217" w:lineRule="exact"/>
              <w:rPr>
                <w:sz w:val="20"/>
                <w:szCs w:val="20"/>
                <w:color w:val="auto"/>
              </w:rPr>
            </w:pPr>
            <w:r>
              <w:rPr>
                <w:rFonts w:ascii="Times New Roman" w:cs="Times New Roman" w:eastAsia="Times New Roman" w:hAnsi="Times New Roman"/>
                <w:sz w:val="16"/>
                <w:szCs w:val="16"/>
                <w:color w:val="auto"/>
              </w:rPr>
              <w:t>Expenses for transactions with franchisees</w:t>
            </w:r>
            <w:r>
              <w:rPr>
                <w:rFonts w:ascii="Times New Roman" w:cs="Times New Roman" w:eastAsia="Times New Roman" w:hAnsi="Times New Roman"/>
                <w:sz w:val="21"/>
                <w:szCs w:val="21"/>
                <w:color w:val="auto"/>
                <w:vertAlign w:val="superscript"/>
              </w:rPr>
              <w:t>(2)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172</w:t>
            </w:r>
          </w:p>
        </w:tc>
      </w:tr>
      <w:tr>
        <w:trPr>
          <w:trHeight w:val="20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Other operating costs and expenses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42</w:t>
            </w:r>
          </w:p>
        </w:tc>
      </w:tr>
      <w:tr>
        <w:trPr>
          <w:trHeight w:val="210"/>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Closures and impairment expenses, net</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w:t>
            </w:r>
          </w:p>
        </w:tc>
      </w:tr>
      <w:tr>
        <w:trPr>
          <w:trHeight w:val="202"/>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Total costs and expenses, net</w:t>
            </w: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2,172</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592</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305</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3,026</w:t>
            </w:r>
          </w:p>
        </w:tc>
      </w:tr>
      <w:tr>
        <w:trPr>
          <w:trHeight w:val="196"/>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Operating Profit (Loss)</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425</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451</w:t>
            </w:r>
          </w:p>
        </w:tc>
      </w:tr>
      <w:tr>
        <w:trPr>
          <w:trHeight w:val="20"/>
        </w:trPr>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3301365</wp:posOffset>
            </wp:positionH>
            <wp:positionV relativeFrom="paragraph">
              <wp:posOffset>-312420</wp:posOffset>
            </wp:positionV>
            <wp:extent cx="9398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4029710</wp:posOffset>
            </wp:positionH>
            <wp:positionV relativeFrom="paragraph">
              <wp:posOffset>-312420</wp:posOffset>
            </wp:positionV>
            <wp:extent cx="9398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4766945</wp:posOffset>
            </wp:positionH>
            <wp:positionV relativeFrom="paragraph">
              <wp:posOffset>-312420</wp:posOffset>
            </wp:positionV>
            <wp:extent cx="9398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5598795</wp:posOffset>
            </wp:positionH>
            <wp:positionV relativeFrom="paragraph">
              <wp:posOffset>-312420</wp:posOffset>
            </wp:positionV>
            <wp:extent cx="10287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6353175</wp:posOffset>
            </wp:positionH>
            <wp:positionV relativeFrom="paragraph">
              <wp:posOffset>-312420</wp:posOffset>
            </wp:positionV>
            <wp:extent cx="10287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870" cy="17145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GAAP Operating Profit to Restaurant Profit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Quarter Ended 9/30/2026</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rPr>
              <w:t>and</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41"/>
              <w:spacing w:after="0" w:line="178" w:lineRule="exact"/>
              <w:rPr>
                <w:sz w:val="20"/>
                <w:szCs w:val="20"/>
                <w:color w:val="auto"/>
              </w:rPr>
            </w:pPr>
            <w:r>
              <w:rPr>
                <w:rFonts w:ascii="Times New Roman" w:cs="Times New Roman" w:eastAsia="Times New Roman" w:hAnsi="Times New Roman"/>
                <w:sz w:val="15"/>
                <w:szCs w:val="15"/>
                <w:b w:val="1"/>
                <w:bCs w:val="1"/>
                <w:color w:val="auto"/>
              </w:rPr>
              <w:t>Unallocated</w:t>
            </w:r>
            <w:r>
              <w:rPr>
                <w:rFonts w:ascii="Times New Roman" w:cs="Times New Roman" w:eastAsia="Times New Roman" w:hAnsi="Times New Roman"/>
                <w:sz w:val="20"/>
                <w:szCs w:val="20"/>
                <w:b w:val="1"/>
                <w:bCs w:val="1"/>
                <w:color w:val="auto"/>
                <w:vertAlign w:val="superscript"/>
              </w:rPr>
              <w:t>(</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KFC</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8"/>
              </w:rPr>
              <w:t>Pizza Hut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121"/>
              <w:spacing w:after="0"/>
              <w:rPr>
                <w:sz w:val="20"/>
                <w:szCs w:val="20"/>
                <w:color w:val="auto"/>
              </w:rPr>
            </w:pPr>
            <w:r>
              <w:rPr>
                <w:rFonts w:ascii="Times New Roman" w:cs="Times New Roman" w:eastAsia="Times New Roman" w:hAnsi="Times New Roman"/>
                <w:sz w:val="11"/>
                <w:szCs w:val="11"/>
                <w:b w:val="1"/>
                <w:bCs w:val="1"/>
                <w:color w:val="auto"/>
              </w:rPr>
              <w:t>1)</w:t>
            </w:r>
          </w:p>
        </w:tc>
        <w:tc>
          <w:tcPr>
            <w:tcW w:w="120" w:type="dxa"/>
            <w:vAlign w:val="bottom"/>
          </w:tcPr>
          <w:p>
            <w:pPr>
              <w:spacing w:after="0"/>
              <w:rPr>
                <w:sz w:val="12"/>
                <w:szCs w:val="12"/>
                <w:color w:val="auto"/>
              </w:rPr>
            </w:pPr>
          </w:p>
        </w:tc>
        <w:tc>
          <w:tcPr>
            <w:tcW w:w="102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Elimination</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70"/>
        </w:trPr>
        <w:tc>
          <w:tcPr>
            <w:tcW w:w="3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Borders>
              <w:bottom w:val="single" w:sz="8" w:color="auto"/>
            </w:tcBorders>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GAAP Operating Profit (Loss)</w:t>
            </w:r>
          </w:p>
        </w:tc>
        <w:tc>
          <w:tcPr>
            <w:tcW w:w="600" w:type="dxa"/>
            <w:vAlign w:val="bottom"/>
          </w:tcPr>
          <w:p>
            <w:pPr>
              <w:spacing w:after="0"/>
              <w:rPr>
                <w:sz w:val="16"/>
                <w:szCs w:val="16"/>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425</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6"/>
                <w:szCs w:val="16"/>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451</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Less:</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Franchise fees and income</w:t>
            </w: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6"/>
        </w:trPr>
        <w:tc>
          <w:tcPr>
            <w:tcW w:w="3660" w:type="dxa"/>
            <w:vAlign w:val="bottom"/>
          </w:tcPr>
          <w:p>
            <w:pPr>
              <w:ind w:left="40"/>
              <w:spacing w:after="0" w:line="217" w:lineRule="exact"/>
              <w:rPr>
                <w:sz w:val="20"/>
                <w:szCs w:val="20"/>
                <w:color w:val="auto"/>
              </w:rPr>
            </w:pPr>
            <w:r>
              <w:rPr>
                <w:rFonts w:ascii="Times New Roman" w:cs="Times New Roman" w:eastAsia="Times New Roman" w:hAnsi="Times New Roman"/>
                <w:sz w:val="16"/>
                <w:szCs w:val="16"/>
                <w:color w:val="auto"/>
              </w:rPr>
              <w:t>Revenues from transactions with franchisees</w:t>
            </w:r>
            <w:r>
              <w:rPr>
                <w:rFonts w:ascii="Times New Roman" w:cs="Times New Roman" w:eastAsia="Times New Roman" w:hAnsi="Times New Roman"/>
                <w:sz w:val="21"/>
                <w:szCs w:val="21"/>
                <w:color w:val="auto"/>
                <w:vertAlign w:val="superscript"/>
              </w:rPr>
              <w:t>(2)</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183</w:t>
            </w:r>
          </w:p>
        </w:tc>
        <w:tc>
          <w:tcPr>
            <w:tcW w:w="0" w:type="dxa"/>
            <w:vAlign w:val="bottom"/>
          </w:tcPr>
          <w:p>
            <w:pPr>
              <w:spacing w:after="0"/>
              <w:rPr>
                <w:sz w:val="1"/>
                <w:szCs w:val="1"/>
                <w:color w:val="auto"/>
              </w:rPr>
            </w:pPr>
          </w:p>
        </w:tc>
      </w:tr>
      <w:tr>
        <w:trPr>
          <w:trHeight w:val="203"/>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revenues</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Add:</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189"/>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Franchise expenses</w:t>
            </w: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6"/>
        </w:trPr>
        <w:tc>
          <w:tcPr>
            <w:tcW w:w="3660" w:type="dxa"/>
            <w:vAlign w:val="bottom"/>
          </w:tcPr>
          <w:p>
            <w:pPr>
              <w:ind w:left="40"/>
              <w:spacing w:after="0" w:line="217" w:lineRule="exact"/>
              <w:rPr>
                <w:sz w:val="20"/>
                <w:szCs w:val="20"/>
                <w:color w:val="auto"/>
              </w:rPr>
            </w:pPr>
            <w:r>
              <w:rPr>
                <w:rFonts w:ascii="Times New Roman" w:cs="Times New Roman" w:eastAsia="Times New Roman" w:hAnsi="Times New Roman"/>
                <w:sz w:val="16"/>
                <w:szCs w:val="16"/>
                <w:color w:val="auto"/>
              </w:rPr>
              <w:t>Expenses for transactions with franchisees</w:t>
            </w:r>
            <w:r>
              <w:rPr>
                <w:rFonts w:ascii="Times New Roman" w:cs="Times New Roman" w:eastAsia="Times New Roman" w:hAnsi="Times New Roman"/>
                <w:sz w:val="21"/>
                <w:szCs w:val="21"/>
                <w:color w:val="auto"/>
                <w:vertAlign w:val="superscript"/>
              </w:rPr>
              <w:t>(2)</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03"/>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operating costs and expenses</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0"/>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Closures and impairment expenses, net</w:t>
            </w:r>
          </w:p>
        </w:tc>
        <w:tc>
          <w:tcPr>
            <w:tcW w:w="6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2"/>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Restaurant profit</w:t>
            </w:r>
          </w:p>
        </w:tc>
        <w:tc>
          <w:tcPr>
            <w:tcW w:w="600" w:type="dxa"/>
            <w:vAlign w:val="bottom"/>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473</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574</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Company sales</w:t>
            </w: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6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2,547</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654</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3,214</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Restaurant margin</w:t>
            </w: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6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GAAP Operating Profit to Core Operating Profit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Quarter Ended 9/30/2026</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center"/>
              <w:ind w:right="124"/>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center"/>
              <w:ind w:right="144"/>
              <w:spacing w:after="0"/>
              <w:rPr>
                <w:sz w:val="20"/>
                <w:szCs w:val="20"/>
                <w:color w:val="auto"/>
              </w:rPr>
            </w:pPr>
            <w:r>
              <w:rPr>
                <w:rFonts w:ascii="Times New Roman" w:cs="Times New Roman" w:eastAsia="Times New Roman" w:hAnsi="Times New Roman"/>
                <w:sz w:val="16"/>
                <w:szCs w:val="16"/>
                <w:b w:val="1"/>
                <w:bCs w:val="1"/>
                <w:color w:val="auto"/>
              </w:rPr>
              <w:t>and</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160" w:type="dxa"/>
            <w:vAlign w:val="bottom"/>
            <w:gridSpan w:val="3"/>
          </w:tcPr>
          <w:p>
            <w:pPr>
              <w:ind w:left="120"/>
              <w:spacing w:after="0" w:line="178" w:lineRule="exact"/>
              <w:rPr>
                <w:sz w:val="20"/>
                <w:szCs w:val="20"/>
                <w:color w:val="auto"/>
              </w:rPr>
            </w:pPr>
            <w:r>
              <w:rPr>
                <w:rFonts w:ascii="Times New Roman" w:cs="Times New Roman" w:eastAsia="Times New Roman" w:hAnsi="Times New Roman"/>
                <w:sz w:val="15"/>
                <w:szCs w:val="15"/>
                <w:b w:val="1"/>
                <w:bCs w:val="1"/>
                <w:color w:val="auto"/>
              </w:rPr>
              <w:t>Unallocated</w:t>
            </w:r>
            <w:r>
              <w:rPr>
                <w:rFonts w:ascii="Times New Roman" w:cs="Times New Roman" w:eastAsia="Times New Roman" w:hAnsi="Times New Roman"/>
                <w:sz w:val="20"/>
                <w:szCs w:val="20"/>
                <w:b w:val="1"/>
                <w:bCs w:val="1"/>
                <w:color w:val="auto"/>
                <w:vertAlign w:val="superscript"/>
              </w:rPr>
              <w:t>(1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KFC</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Pizza Hut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44"/>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Pr>
          <w:p>
            <w:pPr>
              <w:spacing w:after="0"/>
              <w:rPr>
                <w:sz w:val="12"/>
                <w:szCs w:val="12"/>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Elimination</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70"/>
        </w:trPr>
        <w:tc>
          <w:tcPr>
            <w:tcW w:w="432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Borders>
              <w:bottom w:val="single" w:sz="8" w:color="auto"/>
            </w:tcBorders>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GAAP Operating Profit (Loss)</w:t>
            </w:r>
          </w:p>
        </w:tc>
        <w:tc>
          <w:tcPr>
            <w:tcW w:w="20" w:type="dxa"/>
            <w:vAlign w:val="bottom"/>
          </w:tcPr>
          <w:p>
            <w:pPr>
              <w:spacing w:after="0"/>
              <w:rPr>
                <w:sz w:val="16"/>
                <w:szCs w:val="16"/>
                <w:color w:val="auto"/>
              </w:rPr>
            </w:pPr>
          </w:p>
        </w:tc>
        <w:tc>
          <w:tcPr>
            <w:tcW w:w="640" w:type="dxa"/>
            <w:vAlign w:val="bottom"/>
          </w:tcPr>
          <w:p>
            <w:pPr>
              <w:jc w:val="right"/>
              <w:ind w:right="518"/>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425</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6"/>
                <w:szCs w:val="16"/>
                <w:color w:val="auto"/>
              </w:rPr>
            </w:pP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451</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Special Items, Operating Profit</w:t>
            </w:r>
          </w:p>
        </w:tc>
        <w:tc>
          <w:tcPr>
            <w:tcW w:w="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Adjusted Operating Profit (Loss)</w:t>
            </w:r>
          </w:p>
        </w:tc>
        <w:tc>
          <w:tcPr>
            <w:tcW w:w="20" w:type="dxa"/>
            <w:vAlign w:val="bottom"/>
          </w:tcPr>
          <w:p>
            <w:pPr>
              <w:spacing w:after="0"/>
              <w:rPr>
                <w:sz w:val="17"/>
                <w:szCs w:val="17"/>
                <w:color w:val="auto"/>
              </w:rPr>
            </w:pPr>
          </w:p>
        </w:tc>
        <w:tc>
          <w:tcPr>
            <w:tcW w:w="64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425</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451</w:t>
            </w:r>
          </w:p>
        </w:tc>
        <w:tc>
          <w:tcPr>
            <w:tcW w:w="0" w:type="dxa"/>
            <w:vAlign w:val="bottom"/>
          </w:tcPr>
          <w:p>
            <w:pPr>
              <w:spacing w:after="0"/>
              <w:rPr>
                <w:sz w:val="1"/>
                <w:szCs w:val="1"/>
                <w:color w:val="auto"/>
              </w:rPr>
            </w:pPr>
          </w:p>
        </w:tc>
      </w:tr>
      <w:tr>
        <w:trPr>
          <w:trHeight w:val="182"/>
        </w:trPr>
        <w:tc>
          <w:tcPr>
            <w:tcW w:w="432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Items Affecting Comparability</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jc w:val="right"/>
              <w:ind w:right="5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5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44"/>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ind w:left="34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F/X impact</w:t>
            </w:r>
          </w:p>
        </w:tc>
        <w:tc>
          <w:tcPr>
            <w:tcW w:w="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196"/>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Core Operating Profit (Loss)</w:t>
            </w:r>
          </w:p>
        </w:tc>
        <w:tc>
          <w:tcPr>
            <w:tcW w:w="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400</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423</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5"/>
        </w:trPr>
        <w:tc>
          <w:tcPr>
            <w:tcW w:w="4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Quarter Ended 9/30/2025</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183"/>
        </w:trPr>
        <w:tc>
          <w:tcPr>
            <w:tcW w:w="4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9"/>
        </w:trPr>
        <w:tc>
          <w:tcPr>
            <w:tcW w:w="4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and</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2"/>
        </w:trPr>
        <w:tc>
          <w:tcPr>
            <w:tcW w:w="4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KFC</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Pizza Hut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120" w:type="dxa"/>
            <w:vAlign w:val="bottom"/>
          </w:tcPr>
          <w:p>
            <w:pPr>
              <w:spacing w:after="0"/>
              <w:rPr>
                <w:sz w:val="20"/>
                <w:szCs w:val="20"/>
                <w:color w:val="auto"/>
              </w:rPr>
            </w:pPr>
          </w:p>
        </w:tc>
        <w:tc>
          <w:tcPr>
            <w:tcW w:w="1200" w:type="dxa"/>
            <w:vAlign w:val="bottom"/>
            <w:tcBorders>
              <w:bottom w:val="single" w:sz="8" w:color="auto"/>
            </w:tcBorders>
            <w:gridSpan w:val="2"/>
          </w:tcPr>
          <w:p>
            <w:pPr>
              <w:jc w:val="center"/>
              <w:ind w:right="39"/>
              <w:spacing w:after="0" w:line="232" w:lineRule="exact"/>
              <w:rPr>
                <w:sz w:val="20"/>
                <w:szCs w:val="20"/>
                <w:color w:val="auto"/>
              </w:rPr>
            </w:pPr>
            <w:r>
              <w:rPr>
                <w:rFonts w:ascii="Times New Roman" w:cs="Times New Roman" w:eastAsia="Times New Roman" w:hAnsi="Times New Roman"/>
                <w:sz w:val="16"/>
                <w:szCs w:val="16"/>
                <w:b w:val="1"/>
                <w:bCs w:val="1"/>
                <w:color w:val="auto"/>
                <w:w w:val="97"/>
              </w:rPr>
              <w:t>Unallocated</w:t>
            </w:r>
            <w:r>
              <w:rPr>
                <w:rFonts w:ascii="Times New Roman" w:cs="Times New Roman" w:eastAsia="Times New Roman" w:hAnsi="Times New Roman"/>
                <w:sz w:val="21"/>
                <w:szCs w:val="21"/>
                <w:b w:val="1"/>
                <w:bCs w:val="1"/>
                <w:color w:val="auto"/>
                <w:w w:val="97"/>
                <w:vertAlign w:val="superscript"/>
              </w:rPr>
              <w:t>(1)</w:t>
            </w:r>
          </w:p>
        </w:tc>
        <w:tc>
          <w:tcPr>
            <w:tcW w:w="100" w:type="dxa"/>
            <w:vAlign w:val="bottom"/>
          </w:tcPr>
          <w:p>
            <w:pPr>
              <w:spacing w:after="0"/>
              <w:rPr>
                <w:sz w:val="20"/>
                <w:szCs w:val="20"/>
                <w:color w:val="auto"/>
              </w:rPr>
            </w:pPr>
          </w:p>
        </w:tc>
        <w:tc>
          <w:tcPr>
            <w:tcW w:w="106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Elimination</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2"/>
        </w:trPr>
        <w:tc>
          <w:tcPr>
            <w:tcW w:w="42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Company sales</w:t>
            </w:r>
          </w:p>
        </w:tc>
        <w:tc>
          <w:tcPr>
            <w:tcW w:w="20" w:type="dxa"/>
            <w:vAlign w:val="bottom"/>
          </w:tcPr>
          <w:p>
            <w:pPr>
              <w:spacing w:after="0"/>
              <w:rPr>
                <w:sz w:val="15"/>
                <w:szCs w:val="15"/>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2,363</w:t>
            </w:r>
          </w:p>
        </w:tc>
        <w:tc>
          <w:tcPr>
            <w:tcW w:w="120" w:type="dxa"/>
            <w:vAlign w:val="bottom"/>
          </w:tcPr>
          <w:p>
            <w:pPr>
              <w:spacing w:after="0"/>
              <w:rPr>
                <w:sz w:val="15"/>
                <w:szCs w:val="15"/>
                <w:color w:val="auto"/>
              </w:rPr>
            </w:pPr>
          </w:p>
        </w:tc>
        <w:tc>
          <w:tcPr>
            <w:tcW w:w="1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624</w:t>
            </w:r>
          </w:p>
        </w:tc>
        <w:tc>
          <w:tcPr>
            <w:tcW w:w="120" w:type="dxa"/>
            <w:vAlign w:val="bottom"/>
          </w:tcPr>
          <w:p>
            <w:pPr>
              <w:spacing w:after="0"/>
              <w:rPr>
                <w:sz w:val="15"/>
                <w:szCs w:val="15"/>
                <w:color w:val="auto"/>
              </w:rPr>
            </w:pPr>
          </w:p>
        </w:tc>
        <w:tc>
          <w:tcPr>
            <w:tcW w:w="1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5"/>
                <w:szCs w:val="15"/>
                <w:color w:val="auto"/>
              </w:rPr>
            </w:pPr>
          </w:p>
        </w:tc>
        <w:tc>
          <w:tcPr>
            <w:tcW w:w="1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360" w:type="dxa"/>
            <w:vAlign w:val="bottom"/>
          </w:tcPr>
          <w:p>
            <w:pPr>
              <w:jc w:val="right"/>
              <w:ind w:right="199"/>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20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ind w:right="59"/>
              <w:spacing w:after="0" w:line="182" w:lineRule="exact"/>
              <w:rPr>
                <w:sz w:val="20"/>
                <w:szCs w:val="20"/>
                <w:color w:val="auto"/>
              </w:rPr>
            </w:pPr>
            <w:r>
              <w:rPr>
                <w:rFonts w:ascii="Times New Roman" w:cs="Times New Roman" w:eastAsia="Times New Roman" w:hAnsi="Times New Roman"/>
                <w:sz w:val="16"/>
                <w:szCs w:val="16"/>
                <w:color w:val="auto"/>
              </w:rPr>
              <w:t>2,998</w:t>
            </w:r>
          </w:p>
        </w:tc>
      </w:tr>
      <w:tr>
        <w:trPr>
          <w:trHeight w:val="189"/>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Franchise fees and income</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28</w:t>
            </w:r>
          </w:p>
        </w:tc>
      </w:tr>
      <w:tr>
        <w:trPr>
          <w:trHeight w:val="216"/>
        </w:trPr>
        <w:tc>
          <w:tcPr>
            <w:tcW w:w="4200" w:type="dxa"/>
            <w:vAlign w:val="bottom"/>
          </w:tcPr>
          <w:p>
            <w:pPr>
              <w:spacing w:after="0" w:line="217" w:lineRule="exact"/>
              <w:rPr>
                <w:sz w:val="20"/>
                <w:szCs w:val="20"/>
                <w:color w:val="auto"/>
              </w:rPr>
            </w:pPr>
            <w:r>
              <w:rPr>
                <w:rFonts w:ascii="Times New Roman" w:cs="Times New Roman" w:eastAsia="Times New Roman" w:hAnsi="Times New Roman"/>
                <w:sz w:val="16"/>
                <w:szCs w:val="16"/>
                <w:color w:val="auto"/>
              </w:rPr>
              <w:t>Revenues from transactions with franchisees</w:t>
            </w:r>
            <w:r>
              <w:rPr>
                <w:rFonts w:ascii="Times New Roman" w:cs="Times New Roman" w:eastAsia="Times New Roman" w:hAnsi="Times New Roman"/>
                <w:sz w:val="21"/>
                <w:szCs w:val="21"/>
                <w:color w:val="auto"/>
                <w:vertAlign w:val="superscript"/>
              </w:rPr>
              <w:t>(2)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140</w:t>
            </w:r>
          </w:p>
        </w:tc>
      </w:tr>
      <w:tr>
        <w:trPr>
          <w:trHeight w:val="210"/>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Other revenues</w:t>
            </w: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40</w:t>
            </w:r>
          </w:p>
        </w:tc>
      </w:tr>
      <w:tr>
        <w:trPr>
          <w:trHeight w:val="202"/>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20" w:type="dxa"/>
            <w:vAlign w:val="bottom"/>
          </w:tcPr>
          <w:p>
            <w:pPr>
              <w:spacing w:after="0"/>
              <w:rPr>
                <w:sz w:val="17"/>
                <w:szCs w:val="17"/>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2,404</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635</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272</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3,206</w:t>
            </w:r>
          </w:p>
        </w:tc>
      </w:tr>
      <w:tr>
        <w:trPr>
          <w:trHeight w:val="182"/>
        </w:trPr>
        <w:tc>
          <w:tcPr>
            <w:tcW w:w="42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Company restaurant expenses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1,927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540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59"/>
              <w:spacing w:after="0" w:line="182" w:lineRule="exact"/>
              <w:rPr>
                <w:sz w:val="20"/>
                <w:szCs w:val="20"/>
                <w:color w:val="auto"/>
              </w:rPr>
            </w:pPr>
            <w:r>
              <w:rPr>
                <w:rFonts w:ascii="Times New Roman" w:cs="Times New Roman" w:eastAsia="Times New Roman" w:hAnsi="Times New Roman"/>
                <w:sz w:val="16"/>
                <w:szCs w:val="16"/>
                <w:color w:val="auto"/>
              </w:rPr>
              <w:t>2,479</w:t>
            </w:r>
          </w:p>
        </w:tc>
      </w:tr>
      <w:tr>
        <w:trPr>
          <w:trHeight w:val="203"/>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143</w:t>
            </w:r>
          </w:p>
        </w:tc>
      </w:tr>
      <w:tr>
        <w:trPr>
          <w:trHeight w:val="189"/>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Franchise expenses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w:t>
            </w:r>
          </w:p>
        </w:tc>
      </w:tr>
      <w:tr>
        <w:trPr>
          <w:trHeight w:val="216"/>
        </w:trPr>
        <w:tc>
          <w:tcPr>
            <w:tcW w:w="4200" w:type="dxa"/>
            <w:vAlign w:val="bottom"/>
          </w:tcPr>
          <w:p>
            <w:pPr>
              <w:spacing w:after="0" w:line="217" w:lineRule="exact"/>
              <w:rPr>
                <w:sz w:val="20"/>
                <w:szCs w:val="20"/>
                <w:color w:val="auto"/>
              </w:rPr>
            </w:pPr>
            <w:r>
              <w:rPr>
                <w:rFonts w:ascii="Times New Roman" w:cs="Times New Roman" w:eastAsia="Times New Roman" w:hAnsi="Times New Roman"/>
                <w:sz w:val="16"/>
                <w:szCs w:val="16"/>
                <w:color w:val="auto"/>
              </w:rPr>
              <w:t>Expenses for transactions with franchisees</w:t>
            </w:r>
            <w:r>
              <w:rPr>
                <w:rFonts w:ascii="Times New Roman" w:cs="Times New Roman" w:eastAsia="Times New Roman" w:hAnsi="Times New Roman"/>
                <w:sz w:val="21"/>
                <w:szCs w:val="21"/>
                <w:color w:val="auto"/>
                <w:vertAlign w:val="superscript"/>
              </w:rPr>
              <w:t>(2)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134</w:t>
            </w:r>
          </w:p>
        </w:tc>
      </w:tr>
      <w:tr>
        <w:trPr>
          <w:trHeight w:val="203"/>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Other operating costs and expenses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35</w:t>
            </w:r>
          </w:p>
        </w:tc>
      </w:tr>
      <w:tr>
        <w:trPr>
          <w:trHeight w:val="210"/>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Closures and impairment expenses, net</w:t>
            </w: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w:t>
            </w:r>
          </w:p>
        </w:tc>
      </w:tr>
      <w:tr>
        <w:trPr>
          <w:trHeight w:val="202"/>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Total costs and expenses, net</w:t>
            </w: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578</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271</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2,806</w:t>
            </w:r>
          </w:p>
        </w:tc>
      </w:tr>
      <w:tr>
        <w:trPr>
          <w:trHeight w:val="196"/>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Operating Profit (Loss)</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384</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400</w:t>
            </w:r>
          </w:p>
        </w:tc>
      </w:tr>
      <w:tr>
        <w:trPr>
          <w:trHeight w:val="20"/>
        </w:trPr>
        <w:tc>
          <w:tcPr>
            <w:tcW w:w="4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3318510</wp:posOffset>
            </wp:positionH>
            <wp:positionV relativeFrom="paragraph">
              <wp:posOffset>-312420</wp:posOffset>
            </wp:positionV>
            <wp:extent cx="9398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4055745</wp:posOffset>
            </wp:positionH>
            <wp:positionV relativeFrom="paragraph">
              <wp:posOffset>-312420</wp:posOffset>
            </wp:positionV>
            <wp:extent cx="9398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4792980</wp:posOffset>
            </wp:positionH>
            <wp:positionV relativeFrom="paragraph">
              <wp:posOffset>-312420</wp:posOffset>
            </wp:positionV>
            <wp:extent cx="9398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5624195</wp:posOffset>
            </wp:positionH>
            <wp:positionV relativeFrom="paragraph">
              <wp:posOffset>-312420</wp:posOffset>
            </wp:positionV>
            <wp:extent cx="9398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6361430</wp:posOffset>
            </wp:positionH>
            <wp:positionV relativeFrom="paragraph">
              <wp:posOffset>-312420</wp:posOffset>
            </wp:positionV>
            <wp:extent cx="9398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3980" cy="17145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GAAP Operating Profit to Restaurant Profit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Quarter Ended 9/30/2025</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center"/>
              <w:ind w:right="122"/>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center"/>
              <w:ind w:right="142"/>
              <w:spacing w:after="0"/>
              <w:rPr>
                <w:sz w:val="20"/>
                <w:szCs w:val="20"/>
                <w:color w:val="auto"/>
              </w:rPr>
            </w:pPr>
            <w:r>
              <w:rPr>
                <w:rFonts w:ascii="Times New Roman" w:cs="Times New Roman" w:eastAsia="Times New Roman" w:hAnsi="Times New Roman"/>
                <w:sz w:val="16"/>
                <w:szCs w:val="16"/>
                <w:b w:val="1"/>
                <w:bCs w:val="1"/>
                <w:color w:val="auto"/>
              </w:rPr>
              <w:t>and</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62"/>
              <w:spacing w:after="0" w:line="178" w:lineRule="exact"/>
              <w:rPr>
                <w:sz w:val="20"/>
                <w:szCs w:val="20"/>
                <w:color w:val="auto"/>
              </w:rPr>
            </w:pPr>
            <w:r>
              <w:rPr>
                <w:rFonts w:ascii="Times New Roman" w:cs="Times New Roman" w:eastAsia="Times New Roman" w:hAnsi="Times New Roman"/>
                <w:sz w:val="15"/>
                <w:szCs w:val="15"/>
                <w:b w:val="1"/>
                <w:bCs w:val="1"/>
                <w:color w:val="auto"/>
              </w:rPr>
              <w:t>Unallocated</w:t>
            </w:r>
            <w:r>
              <w:rPr>
                <w:rFonts w:ascii="Times New Roman" w:cs="Times New Roman" w:eastAsia="Times New Roman" w:hAnsi="Times New Roman"/>
                <w:sz w:val="20"/>
                <w:szCs w:val="20"/>
                <w:b w:val="1"/>
                <w:bCs w:val="1"/>
                <w:color w:val="auto"/>
                <w:vertAlign w:val="superscript"/>
              </w:rPr>
              <w:t>(1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KFC</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8"/>
              </w:rPr>
              <w:t>Pizza Hut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4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Elimination</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70"/>
        </w:trPr>
        <w:tc>
          <w:tcPr>
            <w:tcW w:w="42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Borders>
              <w:bottom w:val="single" w:sz="8" w:color="auto"/>
            </w:tcBorders>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GAAP Operating Profit (Loss)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384</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6"/>
                <w:szCs w:val="16"/>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400</w:t>
            </w:r>
          </w:p>
        </w:tc>
        <w:tc>
          <w:tcPr>
            <w:tcW w:w="0" w:type="dxa"/>
            <w:vAlign w:val="bottom"/>
          </w:tcPr>
          <w:p>
            <w:pPr>
              <w:spacing w:after="0"/>
              <w:rPr>
                <w:sz w:val="1"/>
                <w:szCs w:val="1"/>
                <w:color w:val="auto"/>
              </w:rPr>
            </w:pPr>
          </w:p>
        </w:tc>
      </w:tr>
      <w:tr>
        <w:trPr>
          <w:trHeight w:val="203"/>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Less: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Franchise fees and income</w:t>
            </w:r>
          </w:p>
        </w:tc>
        <w:tc>
          <w:tcPr>
            <w:tcW w:w="18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6"/>
        </w:trPr>
        <w:tc>
          <w:tcPr>
            <w:tcW w:w="4220" w:type="dxa"/>
            <w:vAlign w:val="bottom"/>
          </w:tcPr>
          <w:p>
            <w:pPr>
              <w:ind w:left="40"/>
              <w:spacing w:after="0" w:line="217" w:lineRule="exact"/>
              <w:rPr>
                <w:sz w:val="20"/>
                <w:szCs w:val="20"/>
                <w:color w:val="auto"/>
              </w:rPr>
            </w:pPr>
            <w:r>
              <w:rPr>
                <w:rFonts w:ascii="Times New Roman" w:cs="Times New Roman" w:eastAsia="Times New Roman" w:hAnsi="Times New Roman"/>
                <w:sz w:val="16"/>
                <w:szCs w:val="16"/>
                <w:color w:val="auto"/>
              </w:rPr>
              <w:t>Revenues from transactions with franchisees</w:t>
            </w:r>
            <w:r>
              <w:rPr>
                <w:rFonts w:ascii="Times New Roman" w:cs="Times New Roman" w:eastAsia="Times New Roman" w:hAnsi="Times New Roman"/>
                <w:sz w:val="21"/>
                <w:szCs w:val="21"/>
                <w:color w:val="auto"/>
                <w:vertAlign w:val="superscript"/>
              </w:rPr>
              <w:t>(2)</w:t>
            </w:r>
          </w:p>
        </w:tc>
        <w:tc>
          <w:tcPr>
            <w:tcW w:w="18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03"/>
        </w:trPr>
        <w:tc>
          <w:tcPr>
            <w:tcW w:w="4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revenues</w:t>
            </w:r>
          </w:p>
        </w:tc>
        <w:tc>
          <w:tcPr>
            <w:tcW w:w="180" w:type="dxa"/>
            <w:vAlign w:val="bottom"/>
          </w:tcPr>
          <w:p>
            <w:pPr>
              <w:spacing w:after="0"/>
              <w:rPr>
                <w:sz w:val="17"/>
                <w:szCs w:val="17"/>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235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3"/>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Add:</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80" w:type="dxa"/>
            <w:vAlign w:val="bottom"/>
          </w:tcPr>
          <w:p>
            <w:pPr>
              <w:spacing w:after="0"/>
              <w:rPr>
                <w:sz w:val="17"/>
                <w:szCs w:val="17"/>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189"/>
        </w:trPr>
        <w:tc>
          <w:tcPr>
            <w:tcW w:w="4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Franchise expenses</w:t>
            </w:r>
          </w:p>
        </w:tc>
        <w:tc>
          <w:tcPr>
            <w:tcW w:w="18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6"/>
        </w:trPr>
        <w:tc>
          <w:tcPr>
            <w:tcW w:w="4220" w:type="dxa"/>
            <w:vAlign w:val="bottom"/>
          </w:tcPr>
          <w:p>
            <w:pPr>
              <w:ind w:left="40"/>
              <w:spacing w:after="0" w:line="217" w:lineRule="exact"/>
              <w:rPr>
                <w:sz w:val="20"/>
                <w:szCs w:val="20"/>
                <w:color w:val="auto"/>
              </w:rPr>
            </w:pPr>
            <w:r>
              <w:rPr>
                <w:rFonts w:ascii="Times New Roman" w:cs="Times New Roman" w:eastAsia="Times New Roman" w:hAnsi="Times New Roman"/>
                <w:sz w:val="16"/>
                <w:szCs w:val="16"/>
                <w:color w:val="auto"/>
              </w:rPr>
              <w:t>Expenses for transactions with franchisees</w:t>
            </w:r>
            <w:r>
              <w:rPr>
                <w:rFonts w:ascii="Times New Roman" w:cs="Times New Roman" w:eastAsia="Times New Roman" w:hAnsi="Times New Roman"/>
                <w:sz w:val="21"/>
                <w:szCs w:val="21"/>
                <w:color w:val="auto"/>
                <w:vertAlign w:val="superscript"/>
              </w:rPr>
              <w:t>(2)</w:t>
            </w:r>
          </w:p>
        </w:tc>
        <w:tc>
          <w:tcPr>
            <w:tcW w:w="18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03"/>
        </w:trPr>
        <w:tc>
          <w:tcPr>
            <w:tcW w:w="4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operating costs and expenses</w:t>
            </w:r>
          </w:p>
        </w:tc>
        <w:tc>
          <w:tcPr>
            <w:tcW w:w="180" w:type="dxa"/>
            <w:vAlign w:val="bottom"/>
          </w:tcPr>
          <w:p>
            <w:pPr>
              <w:spacing w:after="0"/>
              <w:rPr>
                <w:sz w:val="17"/>
                <w:szCs w:val="17"/>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0"/>
        </w:trPr>
        <w:tc>
          <w:tcPr>
            <w:tcW w:w="4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Closures and impairment expenses, net</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2"/>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Restaurant profit (loss)</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436</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519</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Company sales</w:t>
            </w: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2,363</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2,998</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Restaurant margin</w:t>
            </w: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GAAP Operating Profit to Core Operating Profit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Quarter Ended 9/30/2025</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center"/>
              <w:ind w:right="124"/>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center"/>
              <w:ind w:right="144"/>
              <w:spacing w:after="0"/>
              <w:rPr>
                <w:sz w:val="20"/>
                <w:szCs w:val="20"/>
                <w:color w:val="auto"/>
              </w:rPr>
            </w:pPr>
            <w:r>
              <w:rPr>
                <w:rFonts w:ascii="Times New Roman" w:cs="Times New Roman" w:eastAsia="Times New Roman" w:hAnsi="Times New Roman"/>
                <w:sz w:val="16"/>
                <w:szCs w:val="16"/>
                <w:b w:val="1"/>
                <w:bCs w:val="1"/>
                <w:color w:val="auto"/>
              </w:rPr>
              <w:t>and</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160" w:type="dxa"/>
            <w:vAlign w:val="bottom"/>
            <w:gridSpan w:val="3"/>
          </w:tcPr>
          <w:p>
            <w:pPr>
              <w:ind w:left="120"/>
              <w:spacing w:after="0" w:line="178" w:lineRule="exact"/>
              <w:rPr>
                <w:sz w:val="20"/>
                <w:szCs w:val="20"/>
                <w:color w:val="auto"/>
              </w:rPr>
            </w:pPr>
            <w:r>
              <w:rPr>
                <w:rFonts w:ascii="Times New Roman" w:cs="Times New Roman" w:eastAsia="Times New Roman" w:hAnsi="Times New Roman"/>
                <w:sz w:val="15"/>
                <w:szCs w:val="15"/>
                <w:b w:val="1"/>
                <w:bCs w:val="1"/>
                <w:color w:val="auto"/>
              </w:rPr>
              <w:t>Unallocated</w:t>
            </w:r>
            <w:r>
              <w:rPr>
                <w:rFonts w:ascii="Times New Roman" w:cs="Times New Roman" w:eastAsia="Times New Roman" w:hAnsi="Times New Roman"/>
                <w:sz w:val="20"/>
                <w:szCs w:val="20"/>
                <w:b w:val="1"/>
                <w:bCs w:val="1"/>
                <w:color w:val="auto"/>
                <w:vertAlign w:val="superscript"/>
              </w:rPr>
              <w:t>(1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KFC</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Pizza Hut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44"/>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Pr>
          <w:p>
            <w:pPr>
              <w:spacing w:after="0"/>
              <w:rPr>
                <w:sz w:val="12"/>
                <w:szCs w:val="12"/>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Elimination</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70"/>
        </w:trPr>
        <w:tc>
          <w:tcPr>
            <w:tcW w:w="432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Borders>
              <w:bottom w:val="single" w:sz="8" w:color="auto"/>
            </w:tcBorders>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GAAP Operating Profit (Loss)</w:t>
            </w:r>
          </w:p>
        </w:tc>
        <w:tc>
          <w:tcPr>
            <w:tcW w:w="20" w:type="dxa"/>
            <w:vAlign w:val="bottom"/>
          </w:tcPr>
          <w:p>
            <w:pPr>
              <w:spacing w:after="0"/>
              <w:rPr>
                <w:sz w:val="16"/>
                <w:szCs w:val="16"/>
                <w:color w:val="auto"/>
              </w:rPr>
            </w:pPr>
          </w:p>
        </w:tc>
        <w:tc>
          <w:tcPr>
            <w:tcW w:w="640" w:type="dxa"/>
            <w:vAlign w:val="bottom"/>
          </w:tcPr>
          <w:p>
            <w:pPr>
              <w:jc w:val="right"/>
              <w:ind w:right="518"/>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384</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6"/>
                <w:szCs w:val="16"/>
                <w:color w:val="auto"/>
              </w:rPr>
            </w:pP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400</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Special Items, Operating Profit</w:t>
            </w:r>
          </w:p>
        </w:tc>
        <w:tc>
          <w:tcPr>
            <w:tcW w:w="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Adjusted Operating Profit (Loss)</w:t>
            </w:r>
          </w:p>
        </w:tc>
        <w:tc>
          <w:tcPr>
            <w:tcW w:w="20" w:type="dxa"/>
            <w:vAlign w:val="bottom"/>
          </w:tcPr>
          <w:p>
            <w:pPr>
              <w:spacing w:after="0"/>
              <w:rPr>
                <w:sz w:val="17"/>
                <w:szCs w:val="17"/>
                <w:color w:val="auto"/>
              </w:rPr>
            </w:pPr>
          </w:p>
        </w:tc>
        <w:tc>
          <w:tcPr>
            <w:tcW w:w="64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384</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400</w:t>
            </w:r>
          </w:p>
        </w:tc>
        <w:tc>
          <w:tcPr>
            <w:tcW w:w="0" w:type="dxa"/>
            <w:vAlign w:val="bottom"/>
          </w:tcPr>
          <w:p>
            <w:pPr>
              <w:spacing w:after="0"/>
              <w:rPr>
                <w:sz w:val="1"/>
                <w:szCs w:val="1"/>
                <w:color w:val="auto"/>
              </w:rPr>
            </w:pPr>
          </w:p>
        </w:tc>
      </w:tr>
      <w:tr>
        <w:trPr>
          <w:trHeight w:val="182"/>
        </w:trPr>
        <w:tc>
          <w:tcPr>
            <w:tcW w:w="432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Items Affecting Comparability</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jc w:val="right"/>
              <w:ind w:right="5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5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44"/>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ind w:left="34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F/X impact</w:t>
            </w:r>
          </w:p>
        </w:tc>
        <w:tc>
          <w:tcPr>
            <w:tcW w:w="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Core Operating Profit (Loss)</w:t>
            </w:r>
          </w:p>
        </w:tc>
        <w:tc>
          <w:tcPr>
            <w:tcW w:w="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384</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400</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5"/>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Year to Date Ended 9/30/2026</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183"/>
        </w:trPr>
        <w:tc>
          <w:tcPr>
            <w:tcW w:w="4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9"/>
        </w:trPr>
        <w:tc>
          <w:tcPr>
            <w:tcW w:w="4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and</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2"/>
        </w:trPr>
        <w:tc>
          <w:tcPr>
            <w:tcW w:w="4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KFC</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Pizza Hut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100" w:type="dxa"/>
            <w:vAlign w:val="bottom"/>
          </w:tcPr>
          <w:p>
            <w:pPr>
              <w:spacing w:after="0"/>
              <w:rPr>
                <w:sz w:val="20"/>
                <w:szCs w:val="20"/>
                <w:color w:val="auto"/>
              </w:rPr>
            </w:pPr>
          </w:p>
        </w:tc>
        <w:tc>
          <w:tcPr>
            <w:tcW w:w="1200" w:type="dxa"/>
            <w:vAlign w:val="bottom"/>
            <w:tcBorders>
              <w:bottom w:val="single" w:sz="8" w:color="auto"/>
            </w:tcBorders>
            <w:gridSpan w:val="2"/>
          </w:tcPr>
          <w:p>
            <w:pPr>
              <w:jc w:val="center"/>
              <w:ind w:right="39"/>
              <w:spacing w:after="0" w:line="232" w:lineRule="exact"/>
              <w:rPr>
                <w:sz w:val="20"/>
                <w:szCs w:val="20"/>
                <w:color w:val="auto"/>
              </w:rPr>
            </w:pPr>
            <w:r>
              <w:rPr>
                <w:rFonts w:ascii="Times New Roman" w:cs="Times New Roman" w:eastAsia="Times New Roman" w:hAnsi="Times New Roman"/>
                <w:sz w:val="16"/>
                <w:szCs w:val="16"/>
                <w:b w:val="1"/>
                <w:bCs w:val="1"/>
                <w:color w:val="auto"/>
                <w:w w:val="97"/>
              </w:rPr>
              <w:t>Unallocated</w:t>
            </w:r>
            <w:r>
              <w:rPr>
                <w:rFonts w:ascii="Times New Roman" w:cs="Times New Roman" w:eastAsia="Times New Roman" w:hAnsi="Times New Roman"/>
                <w:sz w:val="21"/>
                <w:szCs w:val="21"/>
                <w:b w:val="1"/>
                <w:bCs w:val="1"/>
                <w:color w:val="auto"/>
                <w:w w:val="97"/>
                <w:vertAlign w:val="superscript"/>
              </w:rPr>
              <w:t>(1)</w:t>
            </w:r>
          </w:p>
        </w:tc>
        <w:tc>
          <w:tcPr>
            <w:tcW w:w="120" w:type="dxa"/>
            <w:vAlign w:val="bottom"/>
          </w:tcPr>
          <w:p>
            <w:pPr>
              <w:spacing w:after="0"/>
              <w:rPr>
                <w:sz w:val="20"/>
                <w:szCs w:val="20"/>
                <w:color w:val="auto"/>
              </w:rPr>
            </w:pPr>
          </w:p>
        </w:tc>
        <w:tc>
          <w:tcPr>
            <w:tcW w:w="104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Elimination</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2"/>
        </w:trPr>
        <w:tc>
          <w:tcPr>
            <w:tcW w:w="41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Company sales</w:t>
            </w:r>
          </w:p>
        </w:tc>
        <w:tc>
          <w:tcPr>
            <w:tcW w:w="20" w:type="dxa"/>
            <w:vAlign w:val="bottom"/>
          </w:tcPr>
          <w:p>
            <w:pPr>
              <w:spacing w:after="0"/>
              <w:rPr>
                <w:sz w:val="15"/>
                <w:szCs w:val="15"/>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ind w:right="59"/>
              <w:spacing w:after="0" w:line="182" w:lineRule="exact"/>
              <w:rPr>
                <w:sz w:val="20"/>
                <w:szCs w:val="20"/>
                <w:color w:val="auto"/>
              </w:rPr>
            </w:pPr>
            <w:r>
              <w:rPr>
                <w:rFonts w:ascii="Times New Roman" w:cs="Times New Roman" w:eastAsia="Times New Roman" w:hAnsi="Times New Roman"/>
                <w:sz w:val="16"/>
                <w:szCs w:val="16"/>
                <w:color w:val="auto"/>
              </w:rPr>
              <w:t>7,251</w:t>
            </w:r>
          </w:p>
        </w:tc>
        <w:tc>
          <w:tcPr>
            <w:tcW w:w="120" w:type="dxa"/>
            <w:vAlign w:val="bottom"/>
          </w:tcPr>
          <w:p>
            <w:pPr>
              <w:spacing w:after="0"/>
              <w:rPr>
                <w:sz w:val="15"/>
                <w:szCs w:val="15"/>
                <w:color w:val="auto"/>
              </w:rPr>
            </w:pPr>
          </w:p>
        </w:tc>
        <w:tc>
          <w:tcPr>
            <w:tcW w:w="1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59"/>
              <w:spacing w:after="0" w:line="182" w:lineRule="exact"/>
              <w:rPr>
                <w:sz w:val="20"/>
                <w:szCs w:val="20"/>
                <w:color w:val="auto"/>
              </w:rPr>
            </w:pPr>
            <w:r>
              <w:rPr>
                <w:rFonts w:ascii="Times New Roman" w:cs="Times New Roman" w:eastAsia="Times New Roman" w:hAnsi="Times New Roman"/>
                <w:sz w:val="16"/>
                <w:szCs w:val="16"/>
                <w:color w:val="auto"/>
              </w:rPr>
              <w:t>1,885</w:t>
            </w:r>
          </w:p>
        </w:tc>
        <w:tc>
          <w:tcPr>
            <w:tcW w:w="120" w:type="dxa"/>
            <w:vAlign w:val="bottom"/>
          </w:tcPr>
          <w:p>
            <w:pPr>
              <w:spacing w:after="0"/>
              <w:rPr>
                <w:sz w:val="15"/>
                <w:szCs w:val="15"/>
                <w:color w:val="auto"/>
              </w:rPr>
            </w:pPr>
          </w:p>
        </w:tc>
        <w:tc>
          <w:tcPr>
            <w:tcW w:w="1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5"/>
                <w:szCs w:val="15"/>
                <w:color w:val="auto"/>
              </w:rPr>
            </w:pPr>
          </w:p>
        </w:tc>
        <w:tc>
          <w:tcPr>
            <w:tcW w:w="1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360" w:type="dxa"/>
            <w:vAlign w:val="bottom"/>
          </w:tcPr>
          <w:p>
            <w:pPr>
              <w:jc w:val="right"/>
              <w:ind w:right="199"/>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80" w:type="dxa"/>
            <w:vAlign w:val="bottom"/>
          </w:tcPr>
          <w:p>
            <w:pPr>
              <w:jc w:val="right"/>
              <w:ind w:right="19"/>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9,171</w:t>
            </w:r>
          </w:p>
        </w:tc>
      </w:tr>
      <w:tr>
        <w:trPr>
          <w:trHeight w:val="189"/>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Franchise fees and income</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91</w:t>
            </w:r>
          </w:p>
        </w:tc>
      </w:tr>
      <w:tr>
        <w:trPr>
          <w:trHeight w:val="216"/>
        </w:trPr>
        <w:tc>
          <w:tcPr>
            <w:tcW w:w="4160" w:type="dxa"/>
            <w:vAlign w:val="bottom"/>
          </w:tcPr>
          <w:p>
            <w:pPr>
              <w:spacing w:after="0" w:line="217" w:lineRule="exact"/>
              <w:rPr>
                <w:sz w:val="20"/>
                <w:szCs w:val="20"/>
                <w:color w:val="auto"/>
              </w:rPr>
            </w:pPr>
            <w:r>
              <w:rPr>
                <w:rFonts w:ascii="Times New Roman" w:cs="Times New Roman" w:eastAsia="Times New Roman" w:hAnsi="Times New Roman"/>
                <w:sz w:val="16"/>
                <w:szCs w:val="16"/>
                <w:color w:val="auto"/>
              </w:rPr>
              <w:t>Revenues from transactions with franchisees</w:t>
            </w:r>
            <w:r>
              <w:rPr>
                <w:rFonts w:ascii="Times New Roman" w:cs="Times New Roman" w:eastAsia="Times New Roman" w:hAnsi="Times New Roman"/>
                <w:sz w:val="21"/>
                <w:szCs w:val="21"/>
                <w:color w:val="auto"/>
                <w:vertAlign w:val="superscript"/>
              </w:rPr>
              <w:t>(2)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494</w:t>
            </w:r>
          </w:p>
        </w:tc>
      </w:tr>
      <w:tr>
        <w:trPr>
          <w:trHeight w:val="210"/>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Other revenues</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745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130</w:t>
            </w:r>
          </w:p>
        </w:tc>
      </w:tr>
      <w:tr>
        <w:trPr>
          <w:trHeight w:val="202"/>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20" w:type="dxa"/>
            <w:vAlign w:val="bottom"/>
          </w:tcPr>
          <w:p>
            <w:pPr>
              <w:spacing w:after="0"/>
              <w:rPr>
                <w:sz w:val="17"/>
                <w:szCs w:val="17"/>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7,388</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1,913</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869</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417</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9,886</w:t>
            </w:r>
          </w:p>
        </w:tc>
      </w:tr>
      <w:tr>
        <w:trPr>
          <w:trHeight w:val="182"/>
        </w:trPr>
        <w:tc>
          <w:tcPr>
            <w:tcW w:w="416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Company restaurant expenses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ind w:right="59"/>
              <w:spacing w:after="0" w:line="182" w:lineRule="exact"/>
              <w:rPr>
                <w:sz w:val="20"/>
                <w:szCs w:val="20"/>
                <w:color w:val="auto"/>
              </w:rPr>
            </w:pPr>
            <w:r>
              <w:rPr>
                <w:rFonts w:ascii="Times New Roman" w:cs="Times New Roman" w:eastAsia="Times New Roman" w:hAnsi="Times New Roman"/>
                <w:sz w:val="16"/>
                <w:szCs w:val="16"/>
                <w:color w:val="auto"/>
              </w:rPr>
              <w:t>5,926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59"/>
              <w:spacing w:after="0" w:line="182" w:lineRule="exact"/>
              <w:rPr>
                <w:sz w:val="20"/>
                <w:szCs w:val="20"/>
                <w:color w:val="auto"/>
              </w:rPr>
            </w:pPr>
            <w:r>
              <w:rPr>
                <w:rFonts w:ascii="Times New Roman" w:cs="Times New Roman" w:eastAsia="Times New Roman" w:hAnsi="Times New Roman"/>
                <w:sz w:val="16"/>
                <w:szCs w:val="16"/>
                <w:color w:val="auto"/>
              </w:rPr>
              <w:t>1,613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7,575</w:t>
            </w: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431</w:t>
            </w:r>
          </w:p>
        </w:tc>
      </w:tr>
      <w:tr>
        <w:trPr>
          <w:trHeight w:val="189"/>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Franchise expenses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w:t>
            </w:r>
          </w:p>
        </w:tc>
      </w:tr>
      <w:tr>
        <w:trPr>
          <w:trHeight w:val="216"/>
        </w:trPr>
        <w:tc>
          <w:tcPr>
            <w:tcW w:w="4160" w:type="dxa"/>
            <w:vAlign w:val="bottom"/>
          </w:tcPr>
          <w:p>
            <w:pPr>
              <w:spacing w:after="0" w:line="217" w:lineRule="exact"/>
              <w:rPr>
                <w:sz w:val="20"/>
                <w:szCs w:val="20"/>
                <w:color w:val="auto"/>
              </w:rPr>
            </w:pPr>
            <w:r>
              <w:rPr>
                <w:rFonts w:ascii="Times New Roman" w:cs="Times New Roman" w:eastAsia="Times New Roman" w:hAnsi="Times New Roman"/>
                <w:sz w:val="16"/>
                <w:szCs w:val="16"/>
                <w:color w:val="auto"/>
              </w:rPr>
              <w:t>Expenses for transactions with franchisees</w:t>
            </w:r>
            <w:r>
              <w:rPr>
                <w:rFonts w:ascii="Times New Roman" w:cs="Times New Roman" w:eastAsia="Times New Roman" w:hAnsi="Times New Roman"/>
                <w:sz w:val="21"/>
                <w:szCs w:val="21"/>
                <w:color w:val="auto"/>
                <w:vertAlign w:val="superscript"/>
              </w:rPr>
              <w:t>(2)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470</w:t>
            </w: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Other operating costs and expenses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111</w:t>
            </w:r>
          </w:p>
        </w:tc>
      </w:tr>
      <w:tr>
        <w:trPr>
          <w:trHeight w:val="210"/>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Closures and impairment expenses, net</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r>
      <w:tr>
        <w:trPr>
          <w:trHeight w:val="202"/>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Total costs and expenses, net</w:t>
            </w: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6,214</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1,718</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867</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542</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8,640</w:t>
            </w:r>
          </w:p>
        </w:tc>
      </w:tr>
      <w:tr>
        <w:trPr>
          <w:trHeight w:val="196"/>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Operating Profit (Loss)</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1,174</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195</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1,246</w:t>
            </w:r>
          </w:p>
        </w:tc>
      </w:tr>
      <w:tr>
        <w:trPr>
          <w:trHeight w:val="20"/>
        </w:trPr>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3309620</wp:posOffset>
            </wp:positionH>
            <wp:positionV relativeFrom="paragraph">
              <wp:posOffset>-312420</wp:posOffset>
            </wp:positionV>
            <wp:extent cx="10287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4072890</wp:posOffset>
            </wp:positionH>
            <wp:positionV relativeFrom="paragraph">
              <wp:posOffset>-312420</wp:posOffset>
            </wp:positionV>
            <wp:extent cx="10287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4827270</wp:posOffset>
            </wp:positionH>
            <wp:positionV relativeFrom="paragraph">
              <wp:posOffset>-312420</wp:posOffset>
            </wp:positionV>
            <wp:extent cx="9398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5650230</wp:posOffset>
            </wp:positionH>
            <wp:positionV relativeFrom="paragraph">
              <wp:posOffset>-312420</wp:posOffset>
            </wp:positionV>
            <wp:extent cx="102235"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2235" cy="171450"/>
                    </a:xfrm>
                    <a:prstGeom prst="rect">
                      <a:avLst/>
                    </a:prstGeom>
                    <a:noFill/>
                  </pic:spPr>
                </pic:pic>
              </a:graphicData>
            </a:graphic>
          </wp:anchor>
        </w:drawing>
        <w:drawing>
          <wp:anchor simplePos="0" relativeHeight="251657728" behindDoc="1" locked="0" layoutInCell="0" allowOverlap="1">
            <wp:simplePos x="0" y="0"/>
            <wp:positionH relativeFrom="column">
              <wp:posOffset>6387465</wp:posOffset>
            </wp:positionH>
            <wp:positionV relativeFrom="paragraph">
              <wp:posOffset>-312420</wp:posOffset>
            </wp:positionV>
            <wp:extent cx="10287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2870" cy="17145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GAAP Operating Profit to Restaurant Profit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Year to Date Ended 9/30/2026</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and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KFC</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Pizza Hut</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120" w:type="dxa"/>
            <w:vAlign w:val="bottom"/>
          </w:tcPr>
          <w:p>
            <w:pPr>
              <w:spacing w:after="0"/>
              <w:rPr>
                <w:sz w:val="20"/>
                <w:szCs w:val="20"/>
                <w:color w:val="auto"/>
              </w:rPr>
            </w:pPr>
          </w:p>
        </w:tc>
        <w:tc>
          <w:tcPr>
            <w:tcW w:w="1120" w:type="dxa"/>
            <w:vAlign w:val="bottom"/>
            <w:tcBorders>
              <w:bottom w:val="single" w:sz="8" w:color="auto"/>
            </w:tcBorders>
            <w:gridSpan w:val="2"/>
          </w:tcPr>
          <w:p>
            <w:pPr>
              <w:ind w:left="20"/>
              <w:spacing w:after="0" w:line="232" w:lineRule="exact"/>
              <w:rPr>
                <w:sz w:val="20"/>
                <w:szCs w:val="20"/>
                <w:color w:val="auto"/>
              </w:rPr>
            </w:pPr>
            <w:r>
              <w:rPr>
                <w:rFonts w:ascii="Times New Roman" w:cs="Times New Roman" w:eastAsia="Times New Roman" w:hAnsi="Times New Roman"/>
                <w:sz w:val="16"/>
                <w:szCs w:val="16"/>
                <w:b w:val="1"/>
                <w:bCs w:val="1"/>
                <w:color w:val="auto"/>
              </w:rPr>
              <w:t>Unallocated</w:t>
            </w:r>
            <w:r>
              <w:rPr>
                <w:rFonts w:ascii="Times New Roman" w:cs="Times New Roman" w:eastAsia="Times New Roman" w:hAnsi="Times New Roman"/>
                <w:sz w:val="21"/>
                <w:szCs w:val="21"/>
                <w:b w:val="1"/>
                <w:bCs w:val="1"/>
                <w:color w:val="auto"/>
                <w:vertAlign w:val="superscript"/>
              </w:rPr>
              <w:t>(1)</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8"/>
              </w:rPr>
              <w:t>Elimination</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2"/>
        </w:trPr>
        <w:tc>
          <w:tcPr>
            <w:tcW w:w="392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GAAP Operating Profit (Loss)</w:t>
            </w:r>
          </w:p>
        </w:tc>
        <w:tc>
          <w:tcPr>
            <w:tcW w:w="20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ind w:right="79"/>
              <w:spacing w:after="0" w:line="182" w:lineRule="exact"/>
              <w:rPr>
                <w:sz w:val="20"/>
                <w:szCs w:val="20"/>
                <w:color w:val="auto"/>
              </w:rPr>
            </w:pPr>
            <w:r>
              <w:rPr>
                <w:rFonts w:ascii="Times New Roman" w:cs="Times New Roman" w:eastAsia="Times New Roman" w:hAnsi="Times New Roman"/>
                <w:sz w:val="16"/>
                <w:szCs w:val="16"/>
                <w:color w:val="auto"/>
              </w:rPr>
              <w:t>1,174</w:t>
            </w:r>
          </w:p>
        </w:tc>
        <w:tc>
          <w:tcPr>
            <w:tcW w:w="120" w:type="dxa"/>
            <w:vAlign w:val="bottom"/>
          </w:tcPr>
          <w:p>
            <w:pPr>
              <w:spacing w:after="0"/>
              <w:rPr>
                <w:sz w:val="15"/>
                <w:szCs w:val="15"/>
                <w:color w:val="auto"/>
              </w:rPr>
            </w:pPr>
          </w:p>
        </w:tc>
        <w:tc>
          <w:tcPr>
            <w:tcW w:w="1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ind w:right="79"/>
              <w:spacing w:after="0" w:line="182" w:lineRule="exact"/>
              <w:rPr>
                <w:sz w:val="20"/>
                <w:szCs w:val="20"/>
                <w:color w:val="auto"/>
              </w:rPr>
            </w:pPr>
            <w:r>
              <w:rPr>
                <w:rFonts w:ascii="Times New Roman" w:cs="Times New Roman" w:eastAsia="Times New Roman" w:hAnsi="Times New Roman"/>
                <w:sz w:val="16"/>
                <w:szCs w:val="16"/>
                <w:color w:val="auto"/>
              </w:rPr>
              <w:t>195</w:t>
            </w:r>
          </w:p>
        </w:tc>
        <w:tc>
          <w:tcPr>
            <w:tcW w:w="120" w:type="dxa"/>
            <w:vAlign w:val="bottom"/>
          </w:tcPr>
          <w:p>
            <w:pPr>
              <w:spacing w:after="0"/>
              <w:rPr>
                <w:sz w:val="15"/>
                <w:szCs w:val="15"/>
                <w:color w:val="auto"/>
              </w:rPr>
            </w:pPr>
          </w:p>
        </w:tc>
        <w:tc>
          <w:tcPr>
            <w:tcW w:w="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ind w:right="119"/>
              <w:spacing w:after="0" w:line="182" w:lineRule="exact"/>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5"/>
                <w:szCs w:val="15"/>
                <w:color w:val="auto"/>
              </w:rPr>
            </w:pPr>
          </w:p>
        </w:tc>
        <w:tc>
          <w:tcPr>
            <w:tcW w:w="1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(125)</w:t>
            </w:r>
          </w:p>
        </w:tc>
        <w:tc>
          <w:tcPr>
            <w:tcW w:w="120" w:type="dxa"/>
            <w:vAlign w:val="bottom"/>
          </w:tcPr>
          <w:p>
            <w:pPr>
              <w:spacing w:after="0"/>
              <w:rPr>
                <w:sz w:val="15"/>
                <w:szCs w:val="15"/>
                <w:color w:val="auto"/>
              </w:rPr>
            </w:pPr>
          </w:p>
        </w:tc>
        <w:tc>
          <w:tcPr>
            <w:tcW w:w="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80" w:type="dxa"/>
            <w:vAlign w:val="bottom"/>
          </w:tcPr>
          <w:p>
            <w:pPr>
              <w:jc w:val="right"/>
              <w:ind w:right="19"/>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ind w:right="79"/>
              <w:spacing w:after="0" w:line="182" w:lineRule="exact"/>
              <w:rPr>
                <w:sz w:val="20"/>
                <w:szCs w:val="20"/>
                <w:color w:val="auto"/>
              </w:rPr>
            </w:pPr>
            <w:r>
              <w:rPr>
                <w:rFonts w:ascii="Times New Roman" w:cs="Times New Roman" w:eastAsia="Times New Roman" w:hAnsi="Times New Roman"/>
                <w:sz w:val="16"/>
                <w:szCs w:val="16"/>
                <w:color w:val="auto"/>
              </w:rPr>
              <w:t>1,246</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Less: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Franchise fees and income</w:t>
            </w:r>
          </w:p>
        </w:tc>
        <w:tc>
          <w:tcPr>
            <w:tcW w:w="200" w:type="dxa"/>
            <w:vAlign w:val="bottom"/>
          </w:tcPr>
          <w:p>
            <w:pPr>
              <w:spacing w:after="0"/>
              <w:rPr>
                <w:sz w:val="16"/>
                <w:szCs w:val="16"/>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16"/>
        </w:trPr>
        <w:tc>
          <w:tcPr>
            <w:tcW w:w="3920" w:type="dxa"/>
            <w:vAlign w:val="bottom"/>
          </w:tcPr>
          <w:p>
            <w:pPr>
              <w:ind w:left="40"/>
              <w:spacing w:after="0" w:line="217" w:lineRule="exact"/>
              <w:rPr>
                <w:sz w:val="20"/>
                <w:szCs w:val="20"/>
                <w:color w:val="auto"/>
              </w:rPr>
            </w:pPr>
            <w:r>
              <w:rPr>
                <w:rFonts w:ascii="Times New Roman" w:cs="Times New Roman" w:eastAsia="Times New Roman" w:hAnsi="Times New Roman"/>
                <w:sz w:val="16"/>
                <w:szCs w:val="16"/>
                <w:color w:val="auto"/>
              </w:rPr>
              <w:t>Revenues from transactions with franchisees</w:t>
            </w:r>
            <w:r>
              <w:rPr>
                <w:rFonts w:ascii="Times New Roman" w:cs="Times New Roman" w:eastAsia="Times New Roman" w:hAnsi="Times New Roman"/>
                <w:sz w:val="21"/>
                <w:szCs w:val="21"/>
                <w:color w:val="auto"/>
                <w:vertAlign w:val="superscript"/>
              </w:rPr>
              <w:t>(2)</w:t>
            </w:r>
          </w:p>
        </w:tc>
        <w:tc>
          <w:tcPr>
            <w:tcW w:w="20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494</w:t>
            </w:r>
          </w:p>
        </w:tc>
        <w:tc>
          <w:tcPr>
            <w:tcW w:w="0" w:type="dxa"/>
            <w:vAlign w:val="bottom"/>
          </w:tcPr>
          <w:p>
            <w:pPr>
              <w:spacing w:after="0"/>
              <w:rPr>
                <w:sz w:val="1"/>
                <w:szCs w:val="1"/>
                <w:color w:val="auto"/>
              </w:rPr>
            </w:pPr>
          </w:p>
        </w:tc>
      </w:tr>
      <w:tr>
        <w:trPr>
          <w:trHeight w:val="203"/>
        </w:trPr>
        <w:tc>
          <w:tcPr>
            <w:tcW w:w="3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revenues</w:t>
            </w:r>
          </w:p>
        </w:tc>
        <w:tc>
          <w:tcPr>
            <w:tcW w:w="20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745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Add:</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0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431</w:t>
            </w:r>
          </w:p>
        </w:tc>
        <w:tc>
          <w:tcPr>
            <w:tcW w:w="0" w:type="dxa"/>
            <w:vAlign w:val="bottom"/>
          </w:tcPr>
          <w:p>
            <w:pPr>
              <w:spacing w:after="0"/>
              <w:rPr>
                <w:sz w:val="1"/>
                <w:szCs w:val="1"/>
                <w:color w:val="auto"/>
              </w:rPr>
            </w:pPr>
          </w:p>
        </w:tc>
      </w:tr>
      <w:tr>
        <w:trPr>
          <w:trHeight w:val="189"/>
        </w:trPr>
        <w:tc>
          <w:tcPr>
            <w:tcW w:w="3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Franchise expenses</w:t>
            </w:r>
          </w:p>
        </w:tc>
        <w:tc>
          <w:tcPr>
            <w:tcW w:w="200" w:type="dxa"/>
            <w:vAlign w:val="bottom"/>
          </w:tcPr>
          <w:p>
            <w:pPr>
              <w:spacing w:after="0"/>
              <w:rPr>
                <w:sz w:val="16"/>
                <w:szCs w:val="16"/>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6"/>
        </w:trPr>
        <w:tc>
          <w:tcPr>
            <w:tcW w:w="3920" w:type="dxa"/>
            <w:vAlign w:val="bottom"/>
          </w:tcPr>
          <w:p>
            <w:pPr>
              <w:ind w:left="40"/>
              <w:spacing w:after="0" w:line="217" w:lineRule="exact"/>
              <w:rPr>
                <w:sz w:val="20"/>
                <w:szCs w:val="20"/>
                <w:color w:val="auto"/>
              </w:rPr>
            </w:pPr>
            <w:r>
              <w:rPr>
                <w:rFonts w:ascii="Times New Roman" w:cs="Times New Roman" w:eastAsia="Times New Roman" w:hAnsi="Times New Roman"/>
                <w:sz w:val="16"/>
                <w:szCs w:val="16"/>
                <w:color w:val="auto"/>
              </w:rPr>
              <w:t>Expenses for transactions with franchisees</w:t>
            </w:r>
            <w:r>
              <w:rPr>
                <w:rFonts w:ascii="Times New Roman" w:cs="Times New Roman" w:eastAsia="Times New Roman" w:hAnsi="Times New Roman"/>
                <w:sz w:val="21"/>
                <w:szCs w:val="21"/>
                <w:color w:val="auto"/>
                <w:vertAlign w:val="superscript"/>
              </w:rPr>
              <w:t>(2)</w:t>
            </w:r>
          </w:p>
        </w:tc>
        <w:tc>
          <w:tcPr>
            <w:tcW w:w="20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470</w:t>
            </w:r>
          </w:p>
        </w:tc>
        <w:tc>
          <w:tcPr>
            <w:tcW w:w="0" w:type="dxa"/>
            <w:vAlign w:val="bottom"/>
          </w:tcPr>
          <w:p>
            <w:pPr>
              <w:spacing w:after="0"/>
              <w:rPr>
                <w:sz w:val="1"/>
                <w:szCs w:val="1"/>
                <w:color w:val="auto"/>
              </w:rPr>
            </w:pPr>
          </w:p>
        </w:tc>
      </w:tr>
      <w:tr>
        <w:trPr>
          <w:trHeight w:val="203"/>
        </w:trPr>
        <w:tc>
          <w:tcPr>
            <w:tcW w:w="3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operating costs and expenses</w:t>
            </w:r>
          </w:p>
        </w:tc>
        <w:tc>
          <w:tcPr>
            <w:tcW w:w="20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10"/>
        </w:trPr>
        <w:tc>
          <w:tcPr>
            <w:tcW w:w="3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Closures and impairment expenses, net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2"/>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Restaurant profit (loss)</w:t>
            </w: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1,325</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272</w:t>
            </w: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1,596</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Company sales</w:t>
            </w: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2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7,251</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1,885</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9,171</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Restaurant margin</w:t>
            </w: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2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GAAP Operating Profit to Core Operating Profit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6"/>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rPr>
              <w:t>Year to Date Ended 9/30/2026</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center"/>
              <w:ind w:right="124"/>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center"/>
              <w:ind w:right="144"/>
              <w:spacing w:after="0"/>
              <w:rPr>
                <w:sz w:val="20"/>
                <w:szCs w:val="20"/>
                <w:color w:val="auto"/>
              </w:rPr>
            </w:pPr>
            <w:r>
              <w:rPr>
                <w:rFonts w:ascii="Times New Roman" w:cs="Times New Roman" w:eastAsia="Times New Roman" w:hAnsi="Times New Roman"/>
                <w:sz w:val="16"/>
                <w:szCs w:val="16"/>
                <w:b w:val="1"/>
                <w:bCs w:val="1"/>
                <w:color w:val="auto"/>
              </w:rPr>
              <w:t>and</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160" w:type="dxa"/>
            <w:vAlign w:val="bottom"/>
            <w:gridSpan w:val="3"/>
          </w:tcPr>
          <w:p>
            <w:pPr>
              <w:ind w:left="120"/>
              <w:spacing w:after="0" w:line="178" w:lineRule="exact"/>
              <w:rPr>
                <w:sz w:val="20"/>
                <w:szCs w:val="20"/>
                <w:color w:val="auto"/>
              </w:rPr>
            </w:pPr>
            <w:r>
              <w:rPr>
                <w:rFonts w:ascii="Times New Roman" w:cs="Times New Roman" w:eastAsia="Times New Roman" w:hAnsi="Times New Roman"/>
                <w:sz w:val="15"/>
                <w:szCs w:val="15"/>
                <w:b w:val="1"/>
                <w:bCs w:val="1"/>
                <w:color w:val="auto"/>
              </w:rPr>
              <w:t>Unallocated</w:t>
            </w:r>
            <w:r>
              <w:rPr>
                <w:rFonts w:ascii="Times New Roman" w:cs="Times New Roman" w:eastAsia="Times New Roman" w:hAnsi="Times New Roman"/>
                <w:sz w:val="20"/>
                <w:szCs w:val="20"/>
                <w:b w:val="1"/>
                <w:bCs w:val="1"/>
                <w:color w:val="auto"/>
                <w:vertAlign w:val="superscript"/>
              </w:rPr>
              <w:t>(1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KFC</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Pizza Hut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44"/>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Pr>
          <w:p>
            <w:pPr>
              <w:spacing w:after="0"/>
              <w:rPr>
                <w:sz w:val="12"/>
                <w:szCs w:val="12"/>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Elimination</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70"/>
        </w:trPr>
        <w:tc>
          <w:tcPr>
            <w:tcW w:w="432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Borders>
              <w:bottom w:val="single" w:sz="8" w:color="auto"/>
            </w:tcBorders>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GAAP Operating Profit (Loss)</w:t>
            </w:r>
          </w:p>
        </w:tc>
        <w:tc>
          <w:tcPr>
            <w:tcW w:w="20" w:type="dxa"/>
            <w:vAlign w:val="bottom"/>
          </w:tcPr>
          <w:p>
            <w:pPr>
              <w:spacing w:after="0"/>
              <w:rPr>
                <w:sz w:val="16"/>
                <w:szCs w:val="16"/>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1,174</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6"/>
                <w:szCs w:val="16"/>
                <w:color w:val="auto"/>
              </w:rPr>
            </w:pP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1,246</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Special Items, Operating Profit</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Adjusted Operating Profit (Loss)</w:t>
            </w:r>
          </w:p>
        </w:tc>
        <w:tc>
          <w:tcPr>
            <w:tcW w:w="20" w:type="dxa"/>
            <w:vAlign w:val="bottom"/>
          </w:tcPr>
          <w:p>
            <w:pPr>
              <w:spacing w:after="0"/>
              <w:rPr>
                <w:sz w:val="17"/>
                <w:szCs w:val="17"/>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1,174</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1,246</w:t>
            </w:r>
          </w:p>
        </w:tc>
        <w:tc>
          <w:tcPr>
            <w:tcW w:w="0" w:type="dxa"/>
            <w:vAlign w:val="bottom"/>
          </w:tcPr>
          <w:p>
            <w:pPr>
              <w:spacing w:after="0"/>
              <w:rPr>
                <w:sz w:val="1"/>
                <w:szCs w:val="1"/>
                <w:color w:val="auto"/>
              </w:rPr>
            </w:pPr>
          </w:p>
        </w:tc>
      </w:tr>
      <w:tr>
        <w:trPr>
          <w:trHeight w:val="182"/>
        </w:trPr>
        <w:tc>
          <w:tcPr>
            <w:tcW w:w="432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Items Affecting Comparability</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ind w:right="5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5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44"/>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ind w:left="34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F/X impact</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196"/>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Core Operating Profit (Loss)</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1,109</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1,174</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6"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5"/>
        </w:trPr>
        <w:tc>
          <w:tcPr>
            <w:tcW w:w="4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5"/>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Year to Date Ended 9/30/2025</w:t>
            </w: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183"/>
        </w:trPr>
        <w:tc>
          <w:tcPr>
            <w:tcW w:w="4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9"/>
        </w:trPr>
        <w:tc>
          <w:tcPr>
            <w:tcW w:w="4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and</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2"/>
        </w:trPr>
        <w:tc>
          <w:tcPr>
            <w:tcW w:w="4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KFC</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Pizza Hut</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100" w:type="dxa"/>
            <w:vAlign w:val="bottom"/>
          </w:tcPr>
          <w:p>
            <w:pPr>
              <w:spacing w:after="0"/>
              <w:rPr>
                <w:sz w:val="20"/>
                <w:szCs w:val="20"/>
                <w:color w:val="auto"/>
              </w:rPr>
            </w:pPr>
          </w:p>
        </w:tc>
        <w:tc>
          <w:tcPr>
            <w:tcW w:w="1200" w:type="dxa"/>
            <w:vAlign w:val="bottom"/>
            <w:tcBorders>
              <w:bottom w:val="single" w:sz="8" w:color="auto"/>
            </w:tcBorders>
            <w:gridSpan w:val="2"/>
          </w:tcPr>
          <w:p>
            <w:pPr>
              <w:jc w:val="center"/>
              <w:ind w:right="39"/>
              <w:spacing w:after="0" w:line="232" w:lineRule="exact"/>
              <w:rPr>
                <w:sz w:val="20"/>
                <w:szCs w:val="20"/>
                <w:color w:val="auto"/>
              </w:rPr>
            </w:pPr>
            <w:r>
              <w:rPr>
                <w:rFonts w:ascii="Times New Roman" w:cs="Times New Roman" w:eastAsia="Times New Roman" w:hAnsi="Times New Roman"/>
                <w:sz w:val="16"/>
                <w:szCs w:val="16"/>
                <w:b w:val="1"/>
                <w:bCs w:val="1"/>
                <w:color w:val="auto"/>
                <w:w w:val="97"/>
              </w:rPr>
              <w:t>Unallocated</w:t>
            </w:r>
            <w:r>
              <w:rPr>
                <w:rFonts w:ascii="Times New Roman" w:cs="Times New Roman" w:eastAsia="Times New Roman" w:hAnsi="Times New Roman"/>
                <w:sz w:val="21"/>
                <w:szCs w:val="21"/>
                <w:b w:val="1"/>
                <w:bCs w:val="1"/>
                <w:color w:val="auto"/>
                <w:w w:val="97"/>
                <w:vertAlign w:val="superscript"/>
              </w:rPr>
              <w:t>(1)</w:t>
            </w:r>
          </w:p>
        </w:tc>
        <w:tc>
          <w:tcPr>
            <w:tcW w:w="100" w:type="dxa"/>
            <w:vAlign w:val="bottom"/>
          </w:tcPr>
          <w:p>
            <w:pPr>
              <w:spacing w:after="0"/>
              <w:rPr>
                <w:sz w:val="20"/>
                <w:szCs w:val="20"/>
                <w:color w:val="auto"/>
              </w:rPr>
            </w:pPr>
          </w:p>
        </w:tc>
        <w:tc>
          <w:tcPr>
            <w:tcW w:w="106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Elimination</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2"/>
        </w:trPr>
        <w:tc>
          <w:tcPr>
            <w:tcW w:w="418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Company sales</w:t>
            </w:r>
          </w:p>
        </w:tc>
        <w:tc>
          <w:tcPr>
            <w:tcW w:w="20" w:type="dxa"/>
            <w:vAlign w:val="bottom"/>
          </w:tcPr>
          <w:p>
            <w:pPr>
              <w:spacing w:after="0"/>
              <w:rPr>
                <w:sz w:val="15"/>
                <w:szCs w:val="15"/>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ind w:right="59"/>
              <w:spacing w:after="0" w:line="182" w:lineRule="exact"/>
              <w:rPr>
                <w:sz w:val="20"/>
                <w:szCs w:val="20"/>
                <w:color w:val="auto"/>
              </w:rPr>
            </w:pPr>
            <w:r>
              <w:rPr>
                <w:rFonts w:ascii="Times New Roman" w:cs="Times New Roman" w:eastAsia="Times New Roman" w:hAnsi="Times New Roman"/>
                <w:sz w:val="16"/>
                <w:szCs w:val="16"/>
                <w:color w:val="auto"/>
              </w:rPr>
              <w:t>6,630</w:t>
            </w:r>
          </w:p>
        </w:tc>
        <w:tc>
          <w:tcPr>
            <w:tcW w:w="120" w:type="dxa"/>
            <w:vAlign w:val="bottom"/>
          </w:tcPr>
          <w:p>
            <w:pPr>
              <w:spacing w:after="0"/>
              <w:rPr>
                <w:sz w:val="15"/>
                <w:szCs w:val="15"/>
                <w:color w:val="auto"/>
              </w:rPr>
            </w:pPr>
          </w:p>
        </w:tc>
        <w:tc>
          <w:tcPr>
            <w:tcW w:w="1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1,753</w:t>
            </w:r>
          </w:p>
        </w:tc>
        <w:tc>
          <w:tcPr>
            <w:tcW w:w="100" w:type="dxa"/>
            <w:vAlign w:val="bottom"/>
          </w:tcPr>
          <w:p>
            <w:pPr>
              <w:spacing w:after="0"/>
              <w:rPr>
                <w:sz w:val="15"/>
                <w:szCs w:val="15"/>
                <w:color w:val="auto"/>
              </w:rPr>
            </w:pPr>
          </w:p>
        </w:tc>
        <w:tc>
          <w:tcPr>
            <w:tcW w:w="1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5"/>
                <w:szCs w:val="15"/>
                <w:color w:val="auto"/>
              </w:rPr>
            </w:pPr>
          </w:p>
        </w:tc>
        <w:tc>
          <w:tcPr>
            <w:tcW w:w="1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360" w:type="dxa"/>
            <w:vAlign w:val="bottom"/>
          </w:tcPr>
          <w:p>
            <w:pPr>
              <w:jc w:val="right"/>
              <w:ind w:right="199"/>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80" w:type="dxa"/>
            <w:vAlign w:val="bottom"/>
          </w:tcPr>
          <w:p>
            <w:pPr>
              <w:jc w:val="right"/>
              <w:ind w:right="19"/>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8,412</w:t>
            </w:r>
          </w:p>
        </w:tc>
      </w:tr>
      <w:tr>
        <w:trPr>
          <w:trHeight w:val="189"/>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Franchise fees and income</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w:t>
            </w:r>
          </w:p>
        </w:tc>
      </w:tr>
      <w:tr>
        <w:trPr>
          <w:trHeight w:val="216"/>
        </w:trPr>
        <w:tc>
          <w:tcPr>
            <w:tcW w:w="4180" w:type="dxa"/>
            <w:vAlign w:val="bottom"/>
          </w:tcPr>
          <w:p>
            <w:pPr>
              <w:spacing w:after="0" w:line="217" w:lineRule="exact"/>
              <w:rPr>
                <w:sz w:val="20"/>
                <w:szCs w:val="20"/>
                <w:color w:val="auto"/>
              </w:rPr>
            </w:pPr>
            <w:r>
              <w:rPr>
                <w:rFonts w:ascii="Times New Roman" w:cs="Times New Roman" w:eastAsia="Times New Roman" w:hAnsi="Times New Roman"/>
                <w:sz w:val="16"/>
                <w:szCs w:val="16"/>
                <w:color w:val="auto"/>
              </w:rPr>
              <w:t>Revenues from transactions with franchisees</w:t>
            </w:r>
            <w:r>
              <w:rPr>
                <w:rFonts w:ascii="Times New Roman" w:cs="Times New Roman" w:eastAsia="Times New Roman" w:hAnsi="Times New Roman"/>
                <w:sz w:val="21"/>
                <w:szCs w:val="21"/>
                <w:color w:val="auto"/>
                <w:vertAlign w:val="superscript"/>
              </w:rPr>
              <w:t>(2)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376</w:t>
            </w:r>
          </w:p>
        </w:tc>
      </w:tr>
      <w:tr>
        <w:trPr>
          <w:trHeight w:val="210"/>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Other revenues</w:t>
            </w: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577</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107</w:t>
            </w:r>
          </w:p>
        </w:tc>
      </w:tr>
      <w:tr>
        <w:trPr>
          <w:trHeight w:val="202"/>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20" w:type="dxa"/>
            <w:vAlign w:val="bottom"/>
          </w:tcPr>
          <w:p>
            <w:pPr>
              <w:spacing w:after="0"/>
              <w:rPr>
                <w:sz w:val="17"/>
                <w:szCs w:val="17"/>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6,746</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1,784</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675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8,974</w:t>
            </w:r>
          </w:p>
        </w:tc>
      </w:tr>
      <w:tr>
        <w:trPr>
          <w:trHeight w:val="182"/>
        </w:trPr>
        <w:tc>
          <w:tcPr>
            <w:tcW w:w="418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Company restaurant expenses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59"/>
              <w:spacing w:after="0" w:line="182" w:lineRule="exact"/>
              <w:rPr>
                <w:sz w:val="20"/>
                <w:szCs w:val="20"/>
                <w:color w:val="auto"/>
              </w:rPr>
            </w:pPr>
            <w:r>
              <w:rPr>
                <w:rFonts w:ascii="Times New Roman" w:cs="Times New Roman" w:eastAsia="Times New Roman" w:hAnsi="Times New Roman"/>
                <w:sz w:val="16"/>
                <w:szCs w:val="16"/>
                <w:color w:val="auto"/>
              </w:rPr>
              <w:t>5,408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1,512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6,951</w:t>
            </w:r>
          </w:p>
        </w:tc>
      </w:tr>
      <w:tr>
        <w:trPr>
          <w:trHeight w:val="20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412</w:t>
            </w:r>
          </w:p>
        </w:tc>
      </w:tr>
      <w:tr>
        <w:trPr>
          <w:trHeight w:val="189"/>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Franchise expenses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w:t>
            </w:r>
          </w:p>
        </w:tc>
      </w:tr>
      <w:tr>
        <w:trPr>
          <w:trHeight w:val="216"/>
        </w:trPr>
        <w:tc>
          <w:tcPr>
            <w:tcW w:w="4180" w:type="dxa"/>
            <w:vAlign w:val="bottom"/>
          </w:tcPr>
          <w:p>
            <w:pPr>
              <w:spacing w:after="0" w:line="217" w:lineRule="exact"/>
              <w:rPr>
                <w:sz w:val="20"/>
                <w:szCs w:val="20"/>
                <w:color w:val="auto"/>
              </w:rPr>
            </w:pPr>
            <w:r>
              <w:rPr>
                <w:rFonts w:ascii="Times New Roman" w:cs="Times New Roman" w:eastAsia="Times New Roman" w:hAnsi="Times New Roman"/>
                <w:sz w:val="16"/>
                <w:szCs w:val="16"/>
                <w:color w:val="auto"/>
              </w:rPr>
              <w:t>Expenses for transactions with franchisees</w:t>
            </w:r>
            <w:r>
              <w:rPr>
                <w:rFonts w:ascii="Times New Roman" w:cs="Times New Roman" w:eastAsia="Times New Roman" w:hAnsi="Times New Roman"/>
                <w:sz w:val="21"/>
                <w:szCs w:val="21"/>
                <w:color w:val="auto"/>
                <w:vertAlign w:val="superscript"/>
              </w:rPr>
              <w:t>(2)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361</w:t>
            </w:r>
          </w:p>
        </w:tc>
      </w:tr>
      <w:tr>
        <w:trPr>
          <w:trHeight w:val="20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Other operating costs and expenses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w:t>
            </w:r>
          </w:p>
        </w:tc>
      </w:tr>
      <w:tr>
        <w:trPr>
          <w:trHeight w:val="20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Closures and impairment expenses, net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r>
      <w:tr>
        <w:trPr>
          <w:trHeight w:val="210"/>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2"/>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Total costs and expenses, net</w:t>
            </w: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5,684</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1,621</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677</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7,871</w:t>
            </w:r>
          </w:p>
        </w:tc>
      </w:tr>
      <w:tr>
        <w:trPr>
          <w:trHeight w:val="196"/>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Operating Profit (Loss)</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1,062</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1,103</w:t>
            </w:r>
          </w:p>
        </w:tc>
      </w:tr>
      <w:tr>
        <w:trPr>
          <w:trHeight w:val="20"/>
        </w:trPr>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GAAP Operating Profit to Restaurant Profit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Year to Date Ended 9/30/2025</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and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KFC</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Pizza Hut</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120" w:type="dxa"/>
            <w:vAlign w:val="bottom"/>
          </w:tcPr>
          <w:p>
            <w:pPr>
              <w:spacing w:after="0"/>
              <w:rPr>
                <w:sz w:val="20"/>
                <w:szCs w:val="20"/>
                <w:color w:val="auto"/>
              </w:rPr>
            </w:pPr>
          </w:p>
        </w:tc>
        <w:tc>
          <w:tcPr>
            <w:tcW w:w="1120" w:type="dxa"/>
            <w:vAlign w:val="bottom"/>
            <w:tcBorders>
              <w:bottom w:val="single" w:sz="8" w:color="auto"/>
            </w:tcBorders>
            <w:gridSpan w:val="2"/>
          </w:tcPr>
          <w:p>
            <w:pPr>
              <w:ind w:left="20"/>
              <w:spacing w:after="0" w:line="232" w:lineRule="exact"/>
              <w:rPr>
                <w:sz w:val="20"/>
                <w:szCs w:val="20"/>
                <w:color w:val="auto"/>
              </w:rPr>
            </w:pPr>
            <w:r>
              <w:rPr>
                <w:rFonts w:ascii="Times New Roman" w:cs="Times New Roman" w:eastAsia="Times New Roman" w:hAnsi="Times New Roman"/>
                <w:sz w:val="16"/>
                <w:szCs w:val="16"/>
                <w:b w:val="1"/>
                <w:bCs w:val="1"/>
                <w:color w:val="auto"/>
              </w:rPr>
              <w:t>Unallocated</w:t>
            </w:r>
            <w:r>
              <w:rPr>
                <w:rFonts w:ascii="Times New Roman" w:cs="Times New Roman" w:eastAsia="Times New Roman" w:hAnsi="Times New Roman"/>
                <w:sz w:val="21"/>
                <w:szCs w:val="21"/>
                <w:b w:val="1"/>
                <w:bCs w:val="1"/>
                <w:color w:val="auto"/>
                <w:vertAlign w:val="superscript"/>
              </w:rPr>
              <w:t>(1)</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8"/>
              </w:rPr>
              <w:t>Elimination</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2"/>
        </w:trPr>
        <w:tc>
          <w:tcPr>
            <w:tcW w:w="392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GAAP Operating Profit (Loss)</w:t>
            </w:r>
          </w:p>
        </w:tc>
        <w:tc>
          <w:tcPr>
            <w:tcW w:w="20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ind w:right="79"/>
              <w:spacing w:after="0" w:line="182" w:lineRule="exact"/>
              <w:rPr>
                <w:sz w:val="20"/>
                <w:szCs w:val="20"/>
                <w:color w:val="auto"/>
              </w:rPr>
            </w:pPr>
            <w:r>
              <w:rPr>
                <w:rFonts w:ascii="Times New Roman" w:cs="Times New Roman" w:eastAsia="Times New Roman" w:hAnsi="Times New Roman"/>
                <w:sz w:val="16"/>
                <w:szCs w:val="16"/>
                <w:color w:val="auto"/>
              </w:rPr>
              <w:t>1,062</w:t>
            </w:r>
          </w:p>
        </w:tc>
        <w:tc>
          <w:tcPr>
            <w:tcW w:w="120" w:type="dxa"/>
            <w:vAlign w:val="bottom"/>
          </w:tcPr>
          <w:p>
            <w:pPr>
              <w:spacing w:after="0"/>
              <w:rPr>
                <w:sz w:val="15"/>
                <w:szCs w:val="15"/>
                <w:color w:val="auto"/>
              </w:rPr>
            </w:pPr>
          </w:p>
        </w:tc>
        <w:tc>
          <w:tcPr>
            <w:tcW w:w="1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ind w:right="79"/>
              <w:spacing w:after="0" w:line="182" w:lineRule="exact"/>
              <w:rPr>
                <w:sz w:val="20"/>
                <w:szCs w:val="20"/>
                <w:color w:val="auto"/>
              </w:rPr>
            </w:pPr>
            <w:r>
              <w:rPr>
                <w:rFonts w:ascii="Times New Roman" w:cs="Times New Roman" w:eastAsia="Times New Roman" w:hAnsi="Times New Roman"/>
                <w:sz w:val="16"/>
                <w:szCs w:val="16"/>
                <w:color w:val="auto"/>
              </w:rPr>
              <w:t>163</w:t>
            </w:r>
          </w:p>
        </w:tc>
        <w:tc>
          <w:tcPr>
            <w:tcW w:w="120" w:type="dxa"/>
            <w:vAlign w:val="bottom"/>
          </w:tcPr>
          <w:p>
            <w:pPr>
              <w:spacing w:after="0"/>
              <w:rPr>
                <w:sz w:val="15"/>
                <w:szCs w:val="15"/>
                <w:color w:val="auto"/>
              </w:rPr>
            </w:pPr>
          </w:p>
        </w:tc>
        <w:tc>
          <w:tcPr>
            <w:tcW w:w="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ind w:right="59"/>
              <w:spacing w:after="0" w:line="182" w:lineRule="exact"/>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5"/>
                <w:szCs w:val="15"/>
                <w:color w:val="auto"/>
              </w:rPr>
            </w:pPr>
          </w:p>
        </w:tc>
        <w:tc>
          <w:tcPr>
            <w:tcW w:w="1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(120)</w:t>
            </w:r>
          </w:p>
        </w:tc>
        <w:tc>
          <w:tcPr>
            <w:tcW w:w="120" w:type="dxa"/>
            <w:vAlign w:val="bottom"/>
          </w:tcPr>
          <w:p>
            <w:pPr>
              <w:spacing w:after="0"/>
              <w:rPr>
                <w:sz w:val="15"/>
                <w:szCs w:val="15"/>
                <w:color w:val="auto"/>
              </w:rPr>
            </w:pPr>
          </w:p>
        </w:tc>
        <w:tc>
          <w:tcPr>
            <w:tcW w:w="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80" w:type="dxa"/>
            <w:vAlign w:val="bottom"/>
          </w:tcPr>
          <w:p>
            <w:pPr>
              <w:jc w:val="right"/>
              <w:ind w:right="19"/>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ind w:right="79"/>
              <w:spacing w:after="0" w:line="182" w:lineRule="exact"/>
              <w:rPr>
                <w:sz w:val="20"/>
                <w:szCs w:val="20"/>
                <w:color w:val="auto"/>
              </w:rPr>
            </w:pPr>
            <w:r>
              <w:rPr>
                <w:rFonts w:ascii="Times New Roman" w:cs="Times New Roman" w:eastAsia="Times New Roman" w:hAnsi="Times New Roman"/>
                <w:sz w:val="16"/>
                <w:szCs w:val="16"/>
                <w:color w:val="auto"/>
              </w:rPr>
              <w:t>1,103</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Less: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Franchise fees and income</w:t>
            </w:r>
          </w:p>
        </w:tc>
        <w:tc>
          <w:tcPr>
            <w:tcW w:w="200" w:type="dxa"/>
            <w:vAlign w:val="bottom"/>
          </w:tcPr>
          <w:p>
            <w:pPr>
              <w:spacing w:after="0"/>
              <w:rPr>
                <w:sz w:val="16"/>
                <w:szCs w:val="16"/>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16"/>
        </w:trPr>
        <w:tc>
          <w:tcPr>
            <w:tcW w:w="3920" w:type="dxa"/>
            <w:vAlign w:val="bottom"/>
          </w:tcPr>
          <w:p>
            <w:pPr>
              <w:ind w:left="40"/>
              <w:spacing w:after="0" w:line="217" w:lineRule="exact"/>
              <w:rPr>
                <w:sz w:val="20"/>
                <w:szCs w:val="20"/>
                <w:color w:val="auto"/>
              </w:rPr>
            </w:pPr>
            <w:r>
              <w:rPr>
                <w:rFonts w:ascii="Times New Roman" w:cs="Times New Roman" w:eastAsia="Times New Roman" w:hAnsi="Times New Roman"/>
                <w:sz w:val="16"/>
                <w:szCs w:val="16"/>
                <w:color w:val="auto"/>
              </w:rPr>
              <w:t>Revenues from transactions with franchisees</w:t>
            </w:r>
            <w:r>
              <w:rPr>
                <w:rFonts w:ascii="Times New Roman" w:cs="Times New Roman" w:eastAsia="Times New Roman" w:hAnsi="Times New Roman"/>
                <w:sz w:val="21"/>
                <w:szCs w:val="21"/>
                <w:color w:val="auto"/>
                <w:vertAlign w:val="superscript"/>
              </w:rPr>
              <w:t>(2)</w:t>
            </w:r>
          </w:p>
        </w:tc>
        <w:tc>
          <w:tcPr>
            <w:tcW w:w="20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376</w:t>
            </w:r>
          </w:p>
        </w:tc>
        <w:tc>
          <w:tcPr>
            <w:tcW w:w="0" w:type="dxa"/>
            <w:vAlign w:val="bottom"/>
          </w:tcPr>
          <w:p>
            <w:pPr>
              <w:spacing w:after="0"/>
              <w:rPr>
                <w:sz w:val="1"/>
                <w:szCs w:val="1"/>
                <w:color w:val="auto"/>
              </w:rPr>
            </w:pPr>
          </w:p>
        </w:tc>
      </w:tr>
      <w:tr>
        <w:trPr>
          <w:trHeight w:val="203"/>
        </w:trPr>
        <w:tc>
          <w:tcPr>
            <w:tcW w:w="3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revenues</w:t>
            </w:r>
          </w:p>
        </w:tc>
        <w:tc>
          <w:tcPr>
            <w:tcW w:w="20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577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Add:</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0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412</w:t>
            </w:r>
          </w:p>
        </w:tc>
        <w:tc>
          <w:tcPr>
            <w:tcW w:w="0" w:type="dxa"/>
            <w:vAlign w:val="bottom"/>
          </w:tcPr>
          <w:p>
            <w:pPr>
              <w:spacing w:after="0"/>
              <w:rPr>
                <w:sz w:val="1"/>
                <w:szCs w:val="1"/>
                <w:color w:val="auto"/>
              </w:rPr>
            </w:pPr>
          </w:p>
        </w:tc>
      </w:tr>
      <w:tr>
        <w:trPr>
          <w:trHeight w:val="189"/>
        </w:trPr>
        <w:tc>
          <w:tcPr>
            <w:tcW w:w="3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Franchise expenses</w:t>
            </w:r>
          </w:p>
        </w:tc>
        <w:tc>
          <w:tcPr>
            <w:tcW w:w="200" w:type="dxa"/>
            <w:vAlign w:val="bottom"/>
          </w:tcPr>
          <w:p>
            <w:pPr>
              <w:spacing w:after="0"/>
              <w:rPr>
                <w:sz w:val="16"/>
                <w:szCs w:val="16"/>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6"/>
        </w:trPr>
        <w:tc>
          <w:tcPr>
            <w:tcW w:w="3920" w:type="dxa"/>
            <w:vAlign w:val="bottom"/>
          </w:tcPr>
          <w:p>
            <w:pPr>
              <w:ind w:left="40"/>
              <w:spacing w:after="0" w:line="217" w:lineRule="exact"/>
              <w:rPr>
                <w:sz w:val="20"/>
                <w:szCs w:val="20"/>
                <w:color w:val="auto"/>
              </w:rPr>
            </w:pPr>
            <w:r>
              <w:rPr>
                <w:rFonts w:ascii="Times New Roman" w:cs="Times New Roman" w:eastAsia="Times New Roman" w:hAnsi="Times New Roman"/>
                <w:sz w:val="16"/>
                <w:szCs w:val="16"/>
                <w:color w:val="auto"/>
              </w:rPr>
              <w:t>Expenses for transactions with franchisees</w:t>
            </w:r>
            <w:r>
              <w:rPr>
                <w:rFonts w:ascii="Times New Roman" w:cs="Times New Roman" w:eastAsia="Times New Roman" w:hAnsi="Times New Roman"/>
                <w:sz w:val="21"/>
                <w:szCs w:val="21"/>
                <w:color w:val="auto"/>
                <w:vertAlign w:val="superscript"/>
              </w:rPr>
              <w:t>(2)</w:t>
            </w:r>
          </w:p>
        </w:tc>
        <w:tc>
          <w:tcPr>
            <w:tcW w:w="20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361</w:t>
            </w:r>
          </w:p>
        </w:tc>
        <w:tc>
          <w:tcPr>
            <w:tcW w:w="0" w:type="dxa"/>
            <w:vAlign w:val="bottom"/>
          </w:tcPr>
          <w:p>
            <w:pPr>
              <w:spacing w:after="0"/>
              <w:rPr>
                <w:sz w:val="1"/>
                <w:szCs w:val="1"/>
                <w:color w:val="auto"/>
              </w:rPr>
            </w:pPr>
          </w:p>
        </w:tc>
      </w:tr>
      <w:tr>
        <w:trPr>
          <w:trHeight w:val="203"/>
        </w:trPr>
        <w:tc>
          <w:tcPr>
            <w:tcW w:w="3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operating costs and expenses</w:t>
            </w:r>
          </w:p>
        </w:tc>
        <w:tc>
          <w:tcPr>
            <w:tcW w:w="20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565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03"/>
        </w:trPr>
        <w:tc>
          <w:tcPr>
            <w:tcW w:w="3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Closures and impairment expenses, net</w:t>
            </w:r>
          </w:p>
        </w:tc>
        <w:tc>
          <w:tcPr>
            <w:tcW w:w="20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0"/>
        </w:trPr>
        <w:tc>
          <w:tcPr>
            <w:tcW w:w="3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income, net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2"/>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Restaurant profit (loss)</w:t>
            </w: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1,222</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1,461</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Company sales</w:t>
            </w: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2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6,630</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1,753</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8,412</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Restaurant margin</w:t>
            </w: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20" w:type="dxa"/>
            <w:vAlign w:val="bottom"/>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GAAP Operating Profit to Core Operating Profit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Year to Date Ended 9/30/2025</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center"/>
              <w:ind w:right="124"/>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center"/>
              <w:ind w:right="144"/>
              <w:spacing w:after="0"/>
              <w:rPr>
                <w:sz w:val="20"/>
                <w:szCs w:val="20"/>
                <w:color w:val="auto"/>
              </w:rPr>
            </w:pPr>
            <w:r>
              <w:rPr>
                <w:rFonts w:ascii="Times New Roman" w:cs="Times New Roman" w:eastAsia="Times New Roman" w:hAnsi="Times New Roman"/>
                <w:sz w:val="16"/>
                <w:szCs w:val="16"/>
                <w:b w:val="1"/>
                <w:bCs w:val="1"/>
                <w:color w:val="auto"/>
              </w:rPr>
              <w:t>and</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160" w:type="dxa"/>
            <w:vAlign w:val="bottom"/>
            <w:gridSpan w:val="3"/>
          </w:tcPr>
          <w:p>
            <w:pPr>
              <w:ind w:left="120"/>
              <w:spacing w:after="0" w:line="178" w:lineRule="exact"/>
              <w:rPr>
                <w:sz w:val="20"/>
                <w:szCs w:val="20"/>
                <w:color w:val="auto"/>
              </w:rPr>
            </w:pPr>
            <w:r>
              <w:rPr>
                <w:rFonts w:ascii="Times New Roman" w:cs="Times New Roman" w:eastAsia="Times New Roman" w:hAnsi="Times New Roman"/>
                <w:sz w:val="15"/>
                <w:szCs w:val="15"/>
                <w:b w:val="1"/>
                <w:bCs w:val="1"/>
                <w:color w:val="auto"/>
              </w:rPr>
              <w:t>Unallocated</w:t>
            </w:r>
            <w:r>
              <w:rPr>
                <w:rFonts w:ascii="Times New Roman" w:cs="Times New Roman" w:eastAsia="Times New Roman" w:hAnsi="Times New Roman"/>
                <w:sz w:val="20"/>
                <w:szCs w:val="20"/>
                <w:b w:val="1"/>
                <w:bCs w:val="1"/>
                <w:color w:val="auto"/>
                <w:vertAlign w:val="superscript"/>
              </w:rPr>
              <w:t>(1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KFC</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Pizza Hut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44"/>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Pr>
          <w:p>
            <w:pPr>
              <w:spacing w:after="0"/>
              <w:rPr>
                <w:sz w:val="12"/>
                <w:szCs w:val="12"/>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Elimination</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70"/>
        </w:trPr>
        <w:tc>
          <w:tcPr>
            <w:tcW w:w="432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Borders>
              <w:bottom w:val="single" w:sz="8" w:color="auto"/>
            </w:tcBorders>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GAAP Operating Profit (Loss)</w:t>
            </w:r>
          </w:p>
        </w:tc>
        <w:tc>
          <w:tcPr>
            <w:tcW w:w="20" w:type="dxa"/>
            <w:vAlign w:val="bottom"/>
          </w:tcPr>
          <w:p>
            <w:pPr>
              <w:spacing w:after="0"/>
              <w:rPr>
                <w:sz w:val="16"/>
                <w:szCs w:val="16"/>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1,062</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6"/>
                <w:szCs w:val="16"/>
                <w:color w:val="auto"/>
              </w:rPr>
            </w:pP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1,103</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Special Items, Operating Profit</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Adjusted Operating Profit (Loss)</w:t>
            </w:r>
          </w:p>
        </w:tc>
        <w:tc>
          <w:tcPr>
            <w:tcW w:w="20" w:type="dxa"/>
            <w:vAlign w:val="bottom"/>
          </w:tcPr>
          <w:p>
            <w:pPr>
              <w:spacing w:after="0"/>
              <w:rPr>
                <w:sz w:val="17"/>
                <w:szCs w:val="17"/>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1,062</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1,103</w:t>
            </w:r>
          </w:p>
        </w:tc>
        <w:tc>
          <w:tcPr>
            <w:tcW w:w="0" w:type="dxa"/>
            <w:vAlign w:val="bottom"/>
          </w:tcPr>
          <w:p>
            <w:pPr>
              <w:spacing w:after="0"/>
              <w:rPr>
                <w:sz w:val="1"/>
                <w:szCs w:val="1"/>
                <w:color w:val="auto"/>
              </w:rPr>
            </w:pPr>
          </w:p>
        </w:tc>
      </w:tr>
      <w:tr>
        <w:trPr>
          <w:trHeight w:val="182"/>
        </w:trPr>
        <w:tc>
          <w:tcPr>
            <w:tcW w:w="432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Items Affecting Comparability</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ind w:right="5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5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44"/>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ind w:left="340"/>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F/X impact</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Core Operating Profit (Loss)</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1,062</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1,103</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The above tables reconcile segment information, which is based on management responsibility, with our Condensed Consolidated Statements of Income.</w:t>
      </w:r>
    </w:p>
    <w:p>
      <w:pPr>
        <w:spacing w:after="0" w:line="225" w:lineRule="exact"/>
        <w:rPr>
          <w:sz w:val="20"/>
          <w:szCs w:val="20"/>
          <w:color w:val="auto"/>
        </w:rPr>
      </w:pPr>
    </w:p>
    <w:p>
      <w:pPr>
        <w:ind w:left="380" w:hanging="372"/>
        <w:spacing w:after="0" w:line="282"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have not been allocated to any segment for purpose of making operating decision or assessing financial performance as the transactions are deemed corporate revenues and expenses in nature.</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revenues and associated expenses of transactions with franchisees derived from the Company’s central procurement model whereby the Company centrally purchases substantially all food and paper products from suppliers and then sells and delivers to KFC and Pizza Hut restaurants, including franchisees.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407670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22" w:name="page23"/>
    <w:bookmarkEnd w:id="22"/>
    <w:p>
      <w:pPr>
        <w:spacing w:after="0" w:line="2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491490</wp:posOffset>
            </wp:positionV>
            <wp:extent cx="728345" cy="7118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728345" cy="711835"/>
                    </a:xfrm>
                    <a:prstGeom prst="rect">
                      <a:avLst/>
                    </a:prstGeom>
                    <a:noFill/>
                  </pic:spPr>
                </pic:pic>
              </a:graphicData>
            </a:graphic>
          </wp:anchor>
        </w:drawing>
      </w:r>
    </w:p>
    <w:p>
      <w:pPr>
        <w:ind w:left="7980"/>
        <w:spacing w:after="0"/>
        <w:rPr>
          <w:sz w:val="20"/>
          <w:szCs w:val="20"/>
          <w:color w:val="auto"/>
        </w:rPr>
      </w:pPr>
      <w:r>
        <w:rPr>
          <w:rFonts w:ascii="Times New Roman" w:cs="Times New Roman" w:eastAsia="Times New Roman" w:hAnsi="Times New Roman"/>
          <w:sz w:val="20"/>
          <w:szCs w:val="20"/>
          <w:b w:val="1"/>
          <w:bCs w:val="1"/>
          <w:color w:val="auto"/>
        </w:rPr>
        <w:t>Exhibit 99.2</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Yum China Board Welcomes New Board Member</w:t>
      </w:r>
    </w:p>
    <w:p>
      <w:pPr>
        <w:spacing w:after="0" w:line="2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Shanghai, China (November 3, 2026) – Yum China Holdings, Inc. (the “Company” or “Yum China”) (NYSE: YUMC and HKEX: 9987) announced today the appointment of Mr. Alexander Dimitrief to the Board of Directors, effective November 4, 2026. Effective on the same date and in connection with the appointment, the Board increased the size of the Board of Directors to 13 directors, 12 of whom are independent.</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warmly welcome Alex as the newest member of our Board,” said Yum China’s Chairman Dr. Fred Hu. “Alex possesses extensive global business leadership experience, strong legal and public company governance expertise, and risk management expertise. I am confident that Alex will be a valuable addition to our Board."</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Joey Wat, CEO of Yum China commented, “We are excited to welcome Alex to our Board of Directors. Alex’s global operational expertise and deep legal acumen will be invaluable to us. I look forward to partnering closely with Alex as we continue to drive innovation, business growth, and deliver sustainable long-term value for our shareholders.”</w:t>
      </w:r>
    </w:p>
    <w:p>
      <w:pPr>
        <w:spacing w:after="0" w:line="16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Alexander Dimitrief has served as the founder and principal of Dimitrief Advisory LLC, a general management consulting firm, since 2026, a partner at Zeughauser Group, a management consulting firm advising law firms, since 2020 and is a member of the advisory board of Earlylands Advisory. He previously served as Senior Vice President and General Counsel of Sotera Health Co., a global provider of sterilization, lab testing and advisory services to the healthcare industry, from November 2022 to March 2026. Prior to that, Mr. Dimitrief held various positions at General Electric (GE) from 2007 to 2019, including as President and Chief Executive Officer of GE’s Global Growth Organization from 2018 to 2019, and as GE’s General Counsel from 2015 to 2018. Before joining GE, Mr. Dimitrief spent 20 years as a litigator at Kirkland &amp; Ellis LLP. He is currently an independent director of Eos Energy Enterprises, Inc. (NASDAQ: EOSE). Mr. Dimitrief served as an independent director of SmileDirectClub, Inc. (formerly listed on Nasdaq Stock Market) from 2022 to 2024. He earned a Bachelor of Arts from Yale College and a Juris Doctor from Harvard Law School and has taught courses on corporate citizenship and corporate law at Harvard Law School and New York Law School.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This press release contains “forward-looking statements” within the meaning of Section 27A of the Securities Act of 1933 and Section 21E of the Securities Exchange Act of 1934. We intend all forward-looking statements to be covered by the safe harbor provisions of the Private Securities Litigation Reform Act of 1995. Forward-looking statements generally can be identified by the fact that they do not relate strictly to historical or current facts and by the use of forward-looking words such as “expect,” “expectation,” “believe,” “anticipate,” “may,” “could,” “intend,” “belief,” “plan,” “estimate,” “target,” “predict,” “project,” “likely,” “will,” “continue,” “should,” “forecast,” “outlook,” “commit” or similar terminology. These statements are based on current estimates and assumptions made by us in light of our experience and perception of historical trends, current conditions and expected future developments, as well as other factors that we believe are appropriate and reasonable under the circumstances, but there can be no assurance that such estimates and assumptions will prove to be correct. Forward-looking statements include, without limitation, statements regarding the future strategies, growth and business plans. Forward-looking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996315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491490</wp:posOffset>
            </wp:positionV>
            <wp:extent cx="617220" cy="6172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617220" cy="617220"/>
                    </a:xfrm>
                    <a:prstGeom prst="rect">
                      <a:avLst/>
                    </a:prstGeom>
                    <a:noFill/>
                  </pic:spPr>
                </pic:pic>
              </a:graphicData>
            </a:graphic>
          </wp:anchor>
        </w:drawing>
      </w:r>
    </w:p>
    <w:p>
      <w:pPr>
        <w:spacing w:after="0" w:line="35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statements are not guarantees of performance and are inherently subject to known and unknown risks and uncertainties that are difficult to predict and could cause our actual results or events to differ materially from those indicated by those statements. We cannot assure you that any of our expectations, estimates or assumptions will be achieved. The forward-looking statements included in this press release are only made as of the date of this press release, and we disclaim any obligation to publicly update any forward-looking statement to reflect subsequent events or circumstances, except as required by law. Numerous factors could cause our actual results or events to differ materially from those expressed or implied by forward-looking statements. In addition, other risks and uncertainties not presently known to us or that we currently believe to be immaterial could affect the accuracy of any such forward-looking statements. All forward-looking statements should be evaluated with the understanding of their inherent uncertainty. You should consult our filings with the Securities and Exchange Commission (including the information set forth under the captions “Risk Factor” and “Management’s Discussion and Analysis of Financial Condition and Results of Operations” in our Annual Report on Form 10-K and subsequent Quarterly Reports on Form 10-Q) for additional detail about factors that could affect our financial and other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Yum China Holdings, Inc.</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Yum China is the largest restaurant company in China with a mission to make every life taste beautiful. The Company operates over 19,000 restaurants under six brands across over 2,800 cities in China. KFC and Pizza Hut are the leading brands in the quick-service and casual dining restaurant spaces in China, respectively. The Pizza Hut brand in Mainland China is owned by Yum China. In addition, Yum China has also partnered with Lavazza to develop the Lavazza coffee concept in China. Little Sheep and Huang Ji Huang specialize in Chinese cuisine. Taco Bell offers innovative Mexican-inspired food. Yum China has a world-class, digitalized supply chain which includes an extensive network of logistics centers nationwide and an in-house supply chain management system. Its strong digital capabilities and loyalty program enable the Company to reach customers faster and serve them better. Yum China is a Fortune 500 company with the vision to be the world's most innovative pioneer in the restaurant industry. For more information, please visit http://ir.yumchina.com</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Investor Relations 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Tel: +86 21 2407 7556</w:t>
      </w:r>
    </w:p>
    <w:p>
      <w:pPr>
        <w:spacing w:after="0"/>
        <w:rPr>
          <w:sz w:val="20"/>
          <w:szCs w:val="20"/>
          <w:color w:val="auto"/>
        </w:rPr>
      </w:pPr>
      <w:r>
        <w:rPr>
          <w:rFonts w:ascii="Times New Roman" w:cs="Times New Roman" w:eastAsia="Times New Roman" w:hAnsi="Times New Roman"/>
          <w:sz w:val="20"/>
          <w:szCs w:val="20"/>
          <w:color w:val="auto"/>
        </w:rPr>
        <w:t>IR@YumChina.com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Media Contact: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Tel: +86 21 2407 3824</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Media@YumChina.com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1256030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Letter"/>
      <w:start w:val="4"/>
    </w:lvl>
  </w:abstractNum>
  <w:abstractNum w:abstractNumId="2">
    <w:nsid w:val="5BD062C2"/>
    <w:multiLevelType w:val="hybridMultilevel"/>
    <w:lvl w:ilvl="0">
      <w:lvlJc w:val="left"/>
      <w:lvlText w:val="%1"/>
      <w:numFmt w:val="decimal"/>
      <w:start w:val="104"/>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bullet"/>
      <w:start w:val="1"/>
    </w:lvl>
  </w:abstractNum>
  <w:abstractNum w:abstractNumId="5">
    <w:nsid w:val="216231B"/>
    <w:multiLevelType w:val="hybridMultilevel"/>
    <w:lvl w:ilvl="0">
      <w:lvlJc w:val="left"/>
      <w:lvlText w:val="2"/>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2026-11-03T07:26:38Z</dcterms:created>
  <dcterms:modified xsi:type="dcterms:W3CDTF">2026-11-03T07:26:38Z</dcterms:modified>
</cp:coreProperties>
</file>