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4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jc w:val="center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40" w:type="dxa"/>
            <w:vAlign w:val="bottom"/>
            <w:gridSpan w:val="19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4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60" w:type="dxa"/>
            <w:vAlign w:val="bottom"/>
            <w:gridSpan w:val="17"/>
            <w:vMerge w:val="restart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4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4"/>
                </w:rPr>
                <w:t>Wat Joey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Yum China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YUMC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YUM CHINA BUILDING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 TIAN YAO QIAO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30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20" w:type="dxa"/>
            <w:vAlign w:val="bottom"/>
            <w:gridSpan w:val="2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92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60" w:type="dxa"/>
            <w:vAlign w:val="bottom"/>
            <w:gridSpan w:val="1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4,379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22.32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61.9363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256,723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1,579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61.9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22.32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4,379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02/06/2025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3,905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-6475095</wp:posOffset>
            </wp:positionV>
            <wp:extent cx="7045960" cy="6488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8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80" w:firstLine="3"/>
        <w:spacing w:after="0" w:line="29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$61.90 to $62.02. The price reported above reflects the weighted average price.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Vested in full.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Pingping Liu,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685864" TargetMode="External"/><Relationship Id="rId9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2023-05-12T08:52:19Z</dcterms:created>
  <dcterms:modified xsi:type="dcterms:W3CDTF">2023-05-12T08:52:19Z</dcterms:modified>
</cp:coreProperties>
</file>